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3248" w14:textId="3C2E7995" w:rsidR="002F22A4" w:rsidRPr="002F22A4" w:rsidRDefault="002F22A4" w:rsidP="002F22A4">
      <w:pPr>
        <w:jc w:val="both"/>
        <w:rPr>
          <w:b/>
          <w:bCs/>
          <w:lang w:val="en-US"/>
        </w:rPr>
      </w:pPr>
      <w:r w:rsidRPr="002F22A4">
        <w:rPr>
          <w:b/>
          <w:bCs/>
          <w:lang w:val="en-US"/>
        </w:rPr>
        <w:t>FESI Response to TRIS Notification 2025/0431/FR (France) – Decree on the Prevention of Risks from PFAS Exposur</w:t>
      </w:r>
      <w:r>
        <w:rPr>
          <w:b/>
          <w:bCs/>
          <w:lang w:val="en-US"/>
        </w:rPr>
        <w:t>e</w:t>
      </w:r>
    </w:p>
    <w:p w14:paraId="40ADF314" w14:textId="53D2B364" w:rsidR="002F22A4" w:rsidRDefault="002F22A4" w:rsidP="002F22A4">
      <w:pPr>
        <w:jc w:val="both"/>
        <w:rPr>
          <w:lang w:val="en-US"/>
        </w:rPr>
      </w:pPr>
      <w:proofErr w:type="spellStart"/>
      <w:proofErr w:type="gramStart"/>
      <w:r w:rsidRPr="002F22A4">
        <w:rPr>
          <w:b/>
          <w:bCs/>
          <w:lang w:val="en-US"/>
        </w:rPr>
        <w:t>Date:</w:t>
      </w:r>
      <w:r>
        <w:rPr>
          <w:lang w:val="en-US"/>
        </w:rPr>
        <w:t>XXXXXXX</w:t>
      </w:r>
      <w:proofErr w:type="spellEnd"/>
      <w:proofErr w:type="gramEnd"/>
      <w:r w:rsidRPr="002F22A4">
        <w:rPr>
          <w:lang w:val="en-US"/>
        </w:rPr>
        <w:br/>
      </w:r>
      <w:r w:rsidRPr="002F22A4">
        <w:rPr>
          <w:b/>
          <w:bCs/>
          <w:lang w:val="en-US"/>
        </w:rPr>
        <w:t>Submitted to:</w:t>
      </w:r>
      <w:r w:rsidRPr="002F22A4">
        <w:rPr>
          <w:lang w:val="en-US"/>
        </w:rPr>
        <w:t xml:space="preserve"> European Commission TRIS System</w:t>
      </w:r>
    </w:p>
    <w:p w14:paraId="7A29FDAF" w14:textId="6C530C9F" w:rsidR="002F22A4" w:rsidRPr="002F22A4" w:rsidRDefault="002F22A4" w:rsidP="002F22A4">
      <w:pPr>
        <w:jc w:val="both"/>
        <w:rPr>
          <w:lang w:val="en-US"/>
        </w:rPr>
      </w:pPr>
      <w:r w:rsidRPr="002F22A4">
        <w:rPr>
          <w:b/>
          <w:bCs/>
          <w:lang w:val="en-US"/>
        </w:rPr>
        <w:t>Reference:</w:t>
      </w:r>
      <w:r w:rsidRPr="002F22A4">
        <w:rPr>
          <w:lang w:val="en-US"/>
        </w:rPr>
        <w:t xml:space="preserve"> TRIS Notification 2025/0431/FR</w:t>
      </w:r>
    </w:p>
    <w:p w14:paraId="37F62207" w14:textId="77777777" w:rsidR="002F22A4" w:rsidRPr="002F22A4" w:rsidRDefault="002F22A4" w:rsidP="002F22A4">
      <w:pPr>
        <w:jc w:val="both"/>
        <w:rPr>
          <w:b/>
          <w:bCs/>
          <w:lang w:val="en-US"/>
        </w:rPr>
      </w:pPr>
      <w:r w:rsidRPr="002F22A4">
        <w:rPr>
          <w:b/>
          <w:bCs/>
          <w:lang w:val="en-US"/>
        </w:rPr>
        <w:t>1. Introduction</w:t>
      </w:r>
    </w:p>
    <w:p w14:paraId="78843F54" w14:textId="77777777" w:rsidR="002F22A4" w:rsidRPr="002F22A4" w:rsidRDefault="002F22A4" w:rsidP="002F22A4">
      <w:pPr>
        <w:jc w:val="both"/>
        <w:rPr>
          <w:lang w:val="en-US"/>
        </w:rPr>
      </w:pPr>
      <w:r w:rsidRPr="002F22A4">
        <w:rPr>
          <w:lang w:val="en-US"/>
        </w:rPr>
        <w:t xml:space="preserve">The Federation of the European Sporting Goods Industry (FESI), representing Europe’s leading sporting goods and outdoor brands, fully supports the timely and effective phasing out of </w:t>
      </w:r>
      <w:r w:rsidRPr="002F22A4">
        <w:rPr>
          <w:b/>
          <w:bCs/>
          <w:lang w:val="en-US"/>
        </w:rPr>
        <w:t>per- and polyfluoroalkyl substances (PFAS)</w:t>
      </w:r>
      <w:r w:rsidRPr="002F22A4">
        <w:rPr>
          <w:lang w:val="en-US"/>
        </w:rPr>
        <w:t xml:space="preserve"> in products where alternatives are available and technically feasible.</w:t>
      </w:r>
    </w:p>
    <w:p w14:paraId="0477A95B" w14:textId="31192EB4" w:rsidR="002F22A4" w:rsidRPr="002F22A4" w:rsidRDefault="002F22A4" w:rsidP="002F22A4">
      <w:pPr>
        <w:jc w:val="both"/>
        <w:rPr>
          <w:lang w:val="en-US"/>
        </w:rPr>
      </w:pPr>
      <w:r w:rsidRPr="002F22A4">
        <w:rPr>
          <w:lang w:val="en-US"/>
        </w:rPr>
        <w:t xml:space="preserve">However, we believe that such measures should be implemented </w:t>
      </w:r>
      <w:r w:rsidRPr="002F22A4">
        <w:rPr>
          <w:b/>
          <w:bCs/>
          <w:lang w:val="en-US"/>
        </w:rPr>
        <w:t>at EU level under the current REACH restriction process</w:t>
      </w:r>
      <w:r w:rsidRPr="002F22A4">
        <w:rPr>
          <w:lang w:val="en-US"/>
        </w:rPr>
        <w:t xml:space="preserve"> rather than through </w:t>
      </w:r>
      <w:r w:rsidRPr="002F22A4">
        <w:rPr>
          <w:b/>
          <w:bCs/>
          <w:lang w:val="en-US"/>
        </w:rPr>
        <w:t>national pre-emptive legislation</w:t>
      </w:r>
      <w:r w:rsidRPr="002F22A4">
        <w:rPr>
          <w:lang w:val="en-US"/>
        </w:rPr>
        <w:t>. Fragmented national rules risk undermining the EU internal market, creating legal uncertainty, and placing disproportionate burdens on businesses operating across borders.</w:t>
      </w:r>
    </w:p>
    <w:p w14:paraId="7DA8AAAC" w14:textId="77777777" w:rsidR="002F22A4" w:rsidRPr="002F22A4" w:rsidRDefault="002F22A4" w:rsidP="002F22A4">
      <w:pPr>
        <w:jc w:val="both"/>
        <w:rPr>
          <w:b/>
          <w:bCs/>
          <w:lang w:val="en-US"/>
        </w:rPr>
      </w:pPr>
      <w:r w:rsidRPr="002F22A4">
        <w:rPr>
          <w:b/>
          <w:bCs/>
          <w:lang w:val="en-US"/>
        </w:rPr>
        <w:t>2. Summary of the French Measure</w:t>
      </w:r>
    </w:p>
    <w:p w14:paraId="4AA8858A" w14:textId="77777777" w:rsidR="002F22A4" w:rsidRPr="002F22A4" w:rsidRDefault="002F22A4" w:rsidP="002F22A4">
      <w:pPr>
        <w:numPr>
          <w:ilvl w:val="0"/>
          <w:numId w:val="1"/>
        </w:numPr>
        <w:jc w:val="both"/>
        <w:rPr>
          <w:lang w:val="en-US"/>
        </w:rPr>
      </w:pPr>
      <w:r w:rsidRPr="002F22A4">
        <w:rPr>
          <w:lang w:val="en-US"/>
        </w:rPr>
        <w:t xml:space="preserve">Implements </w:t>
      </w:r>
      <w:r w:rsidRPr="002F22A4">
        <w:rPr>
          <w:b/>
          <w:bCs/>
          <w:lang w:val="en-US"/>
        </w:rPr>
        <w:t>Law No. 2025-188</w:t>
      </w:r>
      <w:r w:rsidRPr="002F22A4">
        <w:rPr>
          <w:lang w:val="en-US"/>
        </w:rPr>
        <w:t xml:space="preserve"> prohibiting, from </w:t>
      </w:r>
      <w:r w:rsidRPr="002F22A4">
        <w:rPr>
          <w:b/>
          <w:bCs/>
          <w:lang w:val="en-US"/>
        </w:rPr>
        <w:t>1 January 2026</w:t>
      </w:r>
      <w:r w:rsidRPr="002F22A4">
        <w:rPr>
          <w:lang w:val="en-US"/>
        </w:rPr>
        <w:t>, the manufacture, import, export, and placing on the market of PFAS-containing cosmetics, ski wax, textiles, footwear, and certain waterproofing agents.</w:t>
      </w:r>
    </w:p>
    <w:p w14:paraId="3E17DF1E" w14:textId="77777777" w:rsidR="002F22A4" w:rsidRPr="002F22A4" w:rsidRDefault="002F22A4" w:rsidP="002F22A4">
      <w:pPr>
        <w:numPr>
          <w:ilvl w:val="0"/>
          <w:numId w:val="1"/>
        </w:numPr>
        <w:jc w:val="both"/>
        <w:rPr>
          <w:lang w:val="en-US"/>
        </w:rPr>
      </w:pPr>
      <w:r w:rsidRPr="002F22A4">
        <w:rPr>
          <w:lang w:val="en-US"/>
        </w:rPr>
        <w:t xml:space="preserve">Defines </w:t>
      </w:r>
      <w:r w:rsidRPr="002F22A4">
        <w:rPr>
          <w:b/>
          <w:bCs/>
          <w:lang w:val="en-US"/>
        </w:rPr>
        <w:t>PFAS concentration thresholds</w:t>
      </w:r>
      <w:r w:rsidRPr="002F22A4">
        <w:rPr>
          <w:lang w:val="en-US"/>
        </w:rPr>
        <w:t xml:space="preserve"> (25 ppb, 250 ppb, 50 ppm depending on measurement type and polymer inclusion).</w:t>
      </w:r>
    </w:p>
    <w:p w14:paraId="34D74F86" w14:textId="77777777" w:rsidR="002F22A4" w:rsidRPr="002F22A4" w:rsidRDefault="002F22A4" w:rsidP="002F22A4">
      <w:pPr>
        <w:numPr>
          <w:ilvl w:val="0"/>
          <w:numId w:val="1"/>
        </w:numPr>
        <w:jc w:val="both"/>
        <w:rPr>
          <w:lang w:val="en-US"/>
        </w:rPr>
      </w:pPr>
      <w:r w:rsidRPr="002F22A4">
        <w:rPr>
          <w:lang w:val="en-US"/>
        </w:rPr>
        <w:t xml:space="preserve">Establishes </w:t>
      </w:r>
      <w:r w:rsidRPr="002F22A4">
        <w:rPr>
          <w:b/>
          <w:bCs/>
          <w:lang w:val="en-US"/>
        </w:rPr>
        <w:t>exemptions</w:t>
      </w:r>
      <w:r w:rsidRPr="002F22A4">
        <w:rPr>
          <w:lang w:val="en-US"/>
        </w:rPr>
        <w:t xml:space="preserve"> for PPE, armed forces/security uses, and PPE waterproofing agents (2026), and for technical textiles and essential use textiles without alternatives (2030).</w:t>
      </w:r>
    </w:p>
    <w:p w14:paraId="7D3D9D3D" w14:textId="5DFB2EBB" w:rsidR="002F22A4" w:rsidRPr="002F22A4" w:rsidRDefault="002F22A4" w:rsidP="002F22A4">
      <w:pPr>
        <w:jc w:val="both"/>
        <w:rPr>
          <w:b/>
          <w:bCs/>
          <w:lang w:val="en-US"/>
        </w:rPr>
      </w:pPr>
      <w:r w:rsidRPr="002F22A4">
        <w:rPr>
          <w:b/>
          <w:bCs/>
          <w:lang w:val="en-US"/>
        </w:rPr>
        <w:t>3. FESI’s Key Concerns</w:t>
      </w:r>
    </w:p>
    <w:p w14:paraId="3FC61DDA" w14:textId="77777777" w:rsidR="002F22A4" w:rsidRPr="002F22A4" w:rsidRDefault="002F22A4" w:rsidP="002F22A4">
      <w:pPr>
        <w:jc w:val="both"/>
        <w:rPr>
          <w:lang w:val="en-US"/>
        </w:rPr>
      </w:pPr>
      <w:r w:rsidRPr="002F22A4">
        <w:rPr>
          <w:b/>
          <w:bCs/>
          <w:lang w:val="en-US"/>
        </w:rPr>
        <w:t>a. Risk to the Internal Market</w:t>
      </w:r>
    </w:p>
    <w:p w14:paraId="2E74153B" w14:textId="77777777" w:rsidR="002F22A4" w:rsidRPr="002F22A4" w:rsidRDefault="002F22A4" w:rsidP="002F22A4">
      <w:pPr>
        <w:numPr>
          <w:ilvl w:val="0"/>
          <w:numId w:val="2"/>
        </w:numPr>
        <w:jc w:val="both"/>
        <w:rPr>
          <w:lang w:val="en-US"/>
        </w:rPr>
      </w:pPr>
      <w:r w:rsidRPr="002F22A4">
        <w:rPr>
          <w:lang w:val="en-US"/>
        </w:rPr>
        <w:t xml:space="preserve">The proposed national measure </w:t>
      </w:r>
      <w:r w:rsidRPr="002F22A4">
        <w:rPr>
          <w:b/>
          <w:bCs/>
          <w:lang w:val="en-US"/>
        </w:rPr>
        <w:t>pre-empts the ongoing EU REACH restriction</w:t>
      </w:r>
      <w:r w:rsidRPr="002F22A4">
        <w:rPr>
          <w:lang w:val="en-US"/>
        </w:rPr>
        <w:t xml:space="preserve"> on PFAS, currently under assessment by the European Chemicals Agency.</w:t>
      </w:r>
    </w:p>
    <w:p w14:paraId="365F3487" w14:textId="77777777" w:rsidR="002F22A4" w:rsidRPr="002F22A4" w:rsidRDefault="002F22A4" w:rsidP="002F22A4">
      <w:pPr>
        <w:numPr>
          <w:ilvl w:val="0"/>
          <w:numId w:val="2"/>
        </w:numPr>
        <w:jc w:val="both"/>
        <w:rPr>
          <w:lang w:val="en-US"/>
        </w:rPr>
      </w:pPr>
      <w:r w:rsidRPr="002F22A4">
        <w:rPr>
          <w:lang w:val="en-US"/>
        </w:rPr>
        <w:t xml:space="preserve">Divergent national rules will </w:t>
      </w:r>
      <w:r w:rsidRPr="002F22A4">
        <w:rPr>
          <w:b/>
          <w:bCs/>
          <w:lang w:val="en-US"/>
        </w:rPr>
        <w:t>fragment the internal market</w:t>
      </w:r>
      <w:r w:rsidRPr="002F22A4">
        <w:rPr>
          <w:lang w:val="en-US"/>
        </w:rPr>
        <w:t>, hinder the free movement of goods (Article 34 TFEU), and create barriers to trade within the EU.</w:t>
      </w:r>
    </w:p>
    <w:p w14:paraId="7D6EEC71" w14:textId="77777777" w:rsidR="002F22A4" w:rsidRPr="002F22A4" w:rsidRDefault="002F22A4" w:rsidP="002F22A4">
      <w:pPr>
        <w:jc w:val="both"/>
        <w:rPr>
          <w:lang w:val="fr-BE"/>
        </w:rPr>
      </w:pPr>
      <w:r w:rsidRPr="002F22A4">
        <w:rPr>
          <w:b/>
          <w:bCs/>
          <w:lang w:val="fr-BE"/>
        </w:rPr>
        <w:t xml:space="preserve">b. Timelines and Legal </w:t>
      </w:r>
      <w:proofErr w:type="spellStart"/>
      <w:r w:rsidRPr="002F22A4">
        <w:rPr>
          <w:b/>
          <w:bCs/>
          <w:lang w:val="fr-BE"/>
        </w:rPr>
        <w:t>Uncertainty</w:t>
      </w:r>
      <w:proofErr w:type="spellEnd"/>
    </w:p>
    <w:p w14:paraId="23719D3E" w14:textId="1A4BE280" w:rsidR="002F22A4" w:rsidRPr="002F22A4" w:rsidRDefault="002F22A4" w:rsidP="002F22A4">
      <w:pPr>
        <w:numPr>
          <w:ilvl w:val="0"/>
          <w:numId w:val="3"/>
        </w:numPr>
        <w:jc w:val="both"/>
        <w:rPr>
          <w:lang w:val="en-US"/>
        </w:rPr>
      </w:pPr>
      <w:r w:rsidRPr="002F22A4">
        <w:rPr>
          <w:lang w:val="en-US"/>
        </w:rPr>
        <w:t xml:space="preserve">The ban is due to apply from </w:t>
      </w:r>
      <w:r w:rsidRPr="002F22A4">
        <w:rPr>
          <w:b/>
          <w:bCs/>
          <w:lang w:val="en-US"/>
        </w:rPr>
        <w:t>1 January 2026</w:t>
      </w:r>
      <w:r w:rsidRPr="002F22A4">
        <w:rPr>
          <w:lang w:val="en-US"/>
        </w:rPr>
        <w:t xml:space="preserve">, leaving insufficient time for industry adaptation, particularly as the </w:t>
      </w:r>
      <w:r w:rsidRPr="002F22A4">
        <w:rPr>
          <w:b/>
          <w:bCs/>
          <w:lang w:val="en-US"/>
        </w:rPr>
        <w:t>final implementing decrees</w:t>
      </w:r>
      <w:r>
        <w:rPr>
          <w:lang w:val="en-US"/>
        </w:rPr>
        <w:t xml:space="preserve">, </w:t>
      </w:r>
      <w:r w:rsidRPr="002F22A4">
        <w:rPr>
          <w:lang w:val="en-US"/>
        </w:rPr>
        <w:t>which will define exemptions and technical details</w:t>
      </w:r>
      <w:r>
        <w:rPr>
          <w:lang w:val="en-US"/>
        </w:rPr>
        <w:t xml:space="preserve">, </w:t>
      </w:r>
      <w:r w:rsidRPr="002F22A4">
        <w:rPr>
          <w:lang w:val="en-US"/>
        </w:rPr>
        <w:t xml:space="preserve">are </w:t>
      </w:r>
      <w:r w:rsidRPr="002F22A4">
        <w:rPr>
          <w:b/>
          <w:bCs/>
          <w:lang w:val="en-US"/>
        </w:rPr>
        <w:t xml:space="preserve">still </w:t>
      </w:r>
      <w:r>
        <w:rPr>
          <w:b/>
          <w:bCs/>
          <w:lang w:val="en-US"/>
        </w:rPr>
        <w:t>under consultation and will be published only in December 2025</w:t>
      </w:r>
      <w:r w:rsidRPr="002F22A4">
        <w:rPr>
          <w:lang w:val="en-US"/>
        </w:rPr>
        <w:t>.</w:t>
      </w:r>
    </w:p>
    <w:p w14:paraId="58AA2678" w14:textId="77777777" w:rsidR="002F22A4" w:rsidRPr="002F22A4" w:rsidRDefault="002F22A4" w:rsidP="002F22A4">
      <w:pPr>
        <w:numPr>
          <w:ilvl w:val="0"/>
          <w:numId w:val="3"/>
        </w:numPr>
        <w:jc w:val="both"/>
        <w:rPr>
          <w:lang w:val="en-US"/>
        </w:rPr>
      </w:pPr>
      <w:r w:rsidRPr="002F22A4">
        <w:rPr>
          <w:lang w:val="en-US"/>
        </w:rPr>
        <w:t>Without clarity on scope, testing requirements, and analytical methods, companies face significant operational and compliance risks.</w:t>
      </w:r>
    </w:p>
    <w:p w14:paraId="1292A65C" w14:textId="77777777" w:rsidR="002F22A4" w:rsidRPr="002F22A4" w:rsidRDefault="002F22A4" w:rsidP="002F22A4">
      <w:pPr>
        <w:jc w:val="both"/>
        <w:rPr>
          <w:lang w:val="en-US"/>
        </w:rPr>
      </w:pPr>
      <w:r w:rsidRPr="002F22A4">
        <w:rPr>
          <w:b/>
          <w:bCs/>
          <w:lang w:val="en-US"/>
        </w:rPr>
        <w:t>c. Impact on Global Supply Chains</w:t>
      </w:r>
    </w:p>
    <w:p w14:paraId="152AF3C4" w14:textId="7F70A0FE" w:rsidR="002F22A4" w:rsidRPr="002F22A4" w:rsidRDefault="002F22A4" w:rsidP="002F22A4">
      <w:pPr>
        <w:numPr>
          <w:ilvl w:val="0"/>
          <w:numId w:val="4"/>
        </w:numPr>
        <w:jc w:val="both"/>
        <w:rPr>
          <w:lang w:val="en-US"/>
        </w:rPr>
      </w:pPr>
      <w:r w:rsidRPr="002F22A4">
        <w:rPr>
          <w:lang w:val="en-US"/>
        </w:rPr>
        <w:lastRenderedPageBreak/>
        <w:t xml:space="preserve">Many sporting goods and outdoor brands operate within </w:t>
      </w:r>
      <w:r w:rsidRPr="002F22A4">
        <w:rPr>
          <w:b/>
          <w:bCs/>
          <w:lang w:val="en-US"/>
        </w:rPr>
        <w:t>complex, global supply chains</w:t>
      </w:r>
      <w:r w:rsidRPr="002F22A4">
        <w:rPr>
          <w:lang w:val="en-US"/>
        </w:rPr>
        <w:t xml:space="preserve">. Pre-emptive national restrictions risk forcing </w:t>
      </w:r>
      <w:r w:rsidRPr="002F22A4">
        <w:rPr>
          <w:b/>
          <w:bCs/>
          <w:lang w:val="en-US"/>
        </w:rPr>
        <w:t>dual compliance systems</w:t>
      </w:r>
      <w:r w:rsidRPr="002F22A4">
        <w:rPr>
          <w:lang w:val="en-US"/>
        </w:rPr>
        <w:t xml:space="preserve"> for France and the rest of the EU, increasing costs and administrative burdens without environmental benefits beyond what the REACH process will deliver.</w:t>
      </w:r>
    </w:p>
    <w:p w14:paraId="2BD65CAD" w14:textId="77777777" w:rsidR="002F22A4" w:rsidRPr="002F22A4" w:rsidRDefault="002F22A4" w:rsidP="002F22A4">
      <w:pPr>
        <w:jc w:val="both"/>
        <w:rPr>
          <w:b/>
          <w:bCs/>
          <w:lang w:val="fr-BE"/>
        </w:rPr>
      </w:pPr>
      <w:r w:rsidRPr="002F22A4">
        <w:rPr>
          <w:b/>
          <w:bCs/>
          <w:lang w:val="fr-BE"/>
        </w:rPr>
        <w:t xml:space="preserve">4. </w:t>
      </w:r>
      <w:proofErr w:type="spellStart"/>
      <w:r w:rsidRPr="002F22A4">
        <w:rPr>
          <w:b/>
          <w:bCs/>
          <w:lang w:val="fr-BE"/>
        </w:rPr>
        <w:t>FESI’s</w:t>
      </w:r>
      <w:proofErr w:type="spellEnd"/>
      <w:r w:rsidRPr="002F22A4">
        <w:rPr>
          <w:b/>
          <w:bCs/>
          <w:lang w:val="fr-BE"/>
        </w:rPr>
        <w:t xml:space="preserve"> </w:t>
      </w:r>
      <w:proofErr w:type="spellStart"/>
      <w:r w:rsidRPr="002F22A4">
        <w:rPr>
          <w:b/>
          <w:bCs/>
          <w:lang w:val="fr-BE"/>
        </w:rPr>
        <w:t>Recommendations</w:t>
      </w:r>
      <w:proofErr w:type="spellEnd"/>
    </w:p>
    <w:p w14:paraId="59AE34B5" w14:textId="77777777" w:rsidR="002F22A4" w:rsidRPr="002F22A4" w:rsidRDefault="002F22A4" w:rsidP="002F22A4">
      <w:pPr>
        <w:numPr>
          <w:ilvl w:val="0"/>
          <w:numId w:val="5"/>
        </w:numPr>
        <w:jc w:val="both"/>
        <w:rPr>
          <w:lang w:val="en-US"/>
        </w:rPr>
      </w:pPr>
      <w:r w:rsidRPr="002F22A4">
        <w:rPr>
          <w:b/>
          <w:bCs/>
          <w:lang w:val="en-US"/>
        </w:rPr>
        <w:t>Align with the REACH Restriction Process</w:t>
      </w:r>
    </w:p>
    <w:p w14:paraId="0B28F81F" w14:textId="77777777" w:rsidR="002F22A4" w:rsidRPr="002F22A4" w:rsidRDefault="002F22A4" w:rsidP="002F22A4">
      <w:pPr>
        <w:numPr>
          <w:ilvl w:val="1"/>
          <w:numId w:val="5"/>
        </w:numPr>
        <w:jc w:val="both"/>
        <w:rPr>
          <w:lang w:val="en-US"/>
        </w:rPr>
      </w:pPr>
      <w:r w:rsidRPr="002F22A4">
        <w:rPr>
          <w:lang w:val="en-US"/>
        </w:rPr>
        <w:t xml:space="preserve">We urge France to </w:t>
      </w:r>
      <w:r w:rsidRPr="002F22A4">
        <w:rPr>
          <w:b/>
          <w:bCs/>
          <w:lang w:val="en-US"/>
        </w:rPr>
        <w:t>defer national implementation</w:t>
      </w:r>
      <w:r w:rsidRPr="002F22A4">
        <w:rPr>
          <w:lang w:val="en-US"/>
        </w:rPr>
        <w:t xml:space="preserve"> until the EU-wide PFAS restriction under REACH is </w:t>
      </w:r>
      <w:proofErr w:type="spellStart"/>
      <w:r w:rsidRPr="002F22A4">
        <w:rPr>
          <w:lang w:val="en-US"/>
        </w:rPr>
        <w:t>finalised</w:t>
      </w:r>
      <w:proofErr w:type="spellEnd"/>
      <w:r w:rsidRPr="002F22A4">
        <w:rPr>
          <w:lang w:val="en-US"/>
        </w:rPr>
        <w:t xml:space="preserve">, ensuring </w:t>
      </w:r>
      <w:proofErr w:type="spellStart"/>
      <w:r w:rsidRPr="002F22A4">
        <w:rPr>
          <w:lang w:val="en-US"/>
        </w:rPr>
        <w:t>harmonised</w:t>
      </w:r>
      <w:proofErr w:type="spellEnd"/>
      <w:r w:rsidRPr="002F22A4">
        <w:rPr>
          <w:lang w:val="en-US"/>
        </w:rPr>
        <w:t xml:space="preserve"> rules across all Member States.</w:t>
      </w:r>
    </w:p>
    <w:p w14:paraId="3DC3741C" w14:textId="77777777" w:rsidR="002F22A4" w:rsidRPr="002F22A4" w:rsidRDefault="002F22A4" w:rsidP="002F22A4">
      <w:pPr>
        <w:numPr>
          <w:ilvl w:val="0"/>
          <w:numId w:val="5"/>
        </w:numPr>
        <w:jc w:val="both"/>
        <w:rPr>
          <w:lang w:val="fr-BE"/>
        </w:rPr>
      </w:pPr>
      <w:proofErr w:type="spellStart"/>
      <w:r w:rsidRPr="002F22A4">
        <w:rPr>
          <w:b/>
          <w:bCs/>
          <w:lang w:val="fr-BE"/>
        </w:rPr>
        <w:t>Ensure</w:t>
      </w:r>
      <w:proofErr w:type="spellEnd"/>
      <w:r w:rsidRPr="002F22A4">
        <w:rPr>
          <w:b/>
          <w:bCs/>
          <w:lang w:val="fr-BE"/>
        </w:rPr>
        <w:t xml:space="preserve"> </w:t>
      </w:r>
      <w:proofErr w:type="spellStart"/>
      <w:r w:rsidRPr="002F22A4">
        <w:rPr>
          <w:b/>
          <w:bCs/>
          <w:lang w:val="fr-BE"/>
        </w:rPr>
        <w:t>Regulatory</w:t>
      </w:r>
      <w:proofErr w:type="spellEnd"/>
      <w:r w:rsidRPr="002F22A4">
        <w:rPr>
          <w:b/>
          <w:bCs/>
          <w:lang w:val="fr-BE"/>
        </w:rPr>
        <w:t xml:space="preserve"> </w:t>
      </w:r>
      <w:proofErr w:type="spellStart"/>
      <w:r w:rsidRPr="002F22A4">
        <w:rPr>
          <w:b/>
          <w:bCs/>
          <w:lang w:val="fr-BE"/>
        </w:rPr>
        <w:t>Certainty</w:t>
      </w:r>
      <w:proofErr w:type="spellEnd"/>
    </w:p>
    <w:p w14:paraId="0E4A2E84" w14:textId="16AFCA4A" w:rsidR="002F22A4" w:rsidRPr="002F22A4" w:rsidRDefault="002F22A4" w:rsidP="002F22A4">
      <w:pPr>
        <w:numPr>
          <w:ilvl w:val="1"/>
          <w:numId w:val="5"/>
        </w:numPr>
        <w:jc w:val="both"/>
        <w:rPr>
          <w:lang w:val="en-US"/>
        </w:rPr>
      </w:pPr>
      <w:r w:rsidRPr="002F22A4">
        <w:rPr>
          <w:lang w:val="en-US"/>
        </w:rPr>
        <w:t>Full legal and technical details</w:t>
      </w:r>
      <w:r>
        <w:rPr>
          <w:lang w:val="en-US"/>
        </w:rPr>
        <w:t xml:space="preserve">, </w:t>
      </w:r>
      <w:r w:rsidRPr="002F22A4">
        <w:rPr>
          <w:lang w:val="en-US"/>
        </w:rPr>
        <w:t xml:space="preserve">including </w:t>
      </w:r>
      <w:r w:rsidRPr="002F22A4">
        <w:rPr>
          <w:b/>
          <w:bCs/>
          <w:lang w:val="en-US"/>
        </w:rPr>
        <w:t>clear analytical methods</w:t>
      </w:r>
      <w:r>
        <w:rPr>
          <w:lang w:val="en-US"/>
        </w:rPr>
        <w:t xml:space="preserve">, </w:t>
      </w:r>
      <w:r w:rsidRPr="002F22A4">
        <w:rPr>
          <w:lang w:val="en-US"/>
        </w:rPr>
        <w:t>must be published well in advance of any compliance deadline to allow industry adequate adaptation time.</w:t>
      </w:r>
    </w:p>
    <w:p w14:paraId="4EE73759" w14:textId="77777777" w:rsidR="002F22A4" w:rsidRPr="002F22A4" w:rsidRDefault="002F22A4" w:rsidP="002F22A4">
      <w:pPr>
        <w:numPr>
          <w:ilvl w:val="0"/>
          <w:numId w:val="5"/>
        </w:numPr>
        <w:jc w:val="both"/>
        <w:rPr>
          <w:lang w:val="fr-BE"/>
        </w:rPr>
      </w:pPr>
      <w:proofErr w:type="spellStart"/>
      <w:r w:rsidRPr="002F22A4">
        <w:rPr>
          <w:b/>
          <w:bCs/>
          <w:lang w:val="fr-BE"/>
        </w:rPr>
        <w:t>Avoid</w:t>
      </w:r>
      <w:proofErr w:type="spellEnd"/>
      <w:r w:rsidRPr="002F22A4">
        <w:rPr>
          <w:b/>
          <w:bCs/>
          <w:lang w:val="fr-BE"/>
        </w:rPr>
        <w:t xml:space="preserve"> </w:t>
      </w:r>
      <w:proofErr w:type="spellStart"/>
      <w:r w:rsidRPr="002F22A4">
        <w:rPr>
          <w:b/>
          <w:bCs/>
          <w:lang w:val="fr-BE"/>
        </w:rPr>
        <w:t>Disproportionate</w:t>
      </w:r>
      <w:proofErr w:type="spellEnd"/>
      <w:r w:rsidRPr="002F22A4">
        <w:rPr>
          <w:b/>
          <w:bCs/>
          <w:lang w:val="fr-BE"/>
        </w:rPr>
        <w:t xml:space="preserve"> </w:t>
      </w:r>
      <w:proofErr w:type="spellStart"/>
      <w:r w:rsidRPr="002F22A4">
        <w:rPr>
          <w:b/>
          <w:bCs/>
          <w:lang w:val="fr-BE"/>
        </w:rPr>
        <w:t>Burdens</w:t>
      </w:r>
      <w:proofErr w:type="spellEnd"/>
    </w:p>
    <w:p w14:paraId="07A53F9B" w14:textId="50EB6189" w:rsidR="002F22A4" w:rsidRPr="002F22A4" w:rsidRDefault="002F22A4" w:rsidP="002F22A4">
      <w:pPr>
        <w:numPr>
          <w:ilvl w:val="1"/>
          <w:numId w:val="5"/>
        </w:numPr>
        <w:jc w:val="both"/>
        <w:rPr>
          <w:lang w:val="en-US"/>
        </w:rPr>
      </w:pPr>
      <w:r w:rsidRPr="002F22A4">
        <w:rPr>
          <w:lang w:val="en-US"/>
        </w:rPr>
        <w:t xml:space="preserve">Consider realistic transition periods aligned with supply chain realities, especially for </w:t>
      </w:r>
      <w:r w:rsidRPr="002F22A4">
        <w:rPr>
          <w:b/>
          <w:bCs/>
          <w:lang w:val="en-US"/>
        </w:rPr>
        <w:t>technical and performance-based products</w:t>
      </w:r>
      <w:r w:rsidRPr="002F22A4">
        <w:rPr>
          <w:lang w:val="en-US"/>
        </w:rPr>
        <w:t xml:space="preserve"> with longer redesign and testing cycles.</w:t>
      </w:r>
      <w:r>
        <w:rPr>
          <w:lang w:val="en-US"/>
        </w:rPr>
        <w:t xml:space="preserve"> Lead times for clothing and footwear production are at least 18 months. </w:t>
      </w:r>
    </w:p>
    <w:p w14:paraId="6985E2C4" w14:textId="77777777" w:rsidR="002F22A4" w:rsidRPr="002F22A4" w:rsidRDefault="002F22A4" w:rsidP="002F22A4">
      <w:pPr>
        <w:jc w:val="both"/>
        <w:rPr>
          <w:b/>
          <w:bCs/>
          <w:lang w:val="en-US"/>
        </w:rPr>
      </w:pPr>
      <w:r w:rsidRPr="002F22A4">
        <w:rPr>
          <w:b/>
          <w:bCs/>
          <w:lang w:val="en-US"/>
        </w:rPr>
        <w:t>5. Conclusion</w:t>
      </w:r>
    </w:p>
    <w:p w14:paraId="505961A7" w14:textId="77777777" w:rsidR="002F22A4" w:rsidRPr="002F22A4" w:rsidRDefault="002F22A4" w:rsidP="002F22A4">
      <w:pPr>
        <w:jc w:val="both"/>
        <w:rPr>
          <w:lang w:val="en-US"/>
        </w:rPr>
      </w:pPr>
      <w:r w:rsidRPr="002F22A4">
        <w:rPr>
          <w:lang w:val="en-US"/>
        </w:rPr>
        <w:t xml:space="preserve">FESI and its members are committed to </w:t>
      </w:r>
      <w:r w:rsidRPr="002F22A4">
        <w:rPr>
          <w:b/>
          <w:bCs/>
          <w:lang w:val="en-US"/>
        </w:rPr>
        <w:t>phasing out PFAS</w:t>
      </w:r>
      <w:r w:rsidRPr="002F22A4">
        <w:rPr>
          <w:lang w:val="en-US"/>
        </w:rPr>
        <w:t xml:space="preserve"> in a safe, effective, and </w:t>
      </w:r>
      <w:proofErr w:type="spellStart"/>
      <w:r w:rsidRPr="002F22A4">
        <w:rPr>
          <w:lang w:val="en-US"/>
        </w:rPr>
        <w:t>harmonised</w:t>
      </w:r>
      <w:proofErr w:type="spellEnd"/>
      <w:r w:rsidRPr="002F22A4">
        <w:rPr>
          <w:lang w:val="en-US"/>
        </w:rPr>
        <w:t xml:space="preserve"> manner. We strongly support the </w:t>
      </w:r>
      <w:r w:rsidRPr="002F22A4">
        <w:rPr>
          <w:b/>
          <w:bCs/>
          <w:lang w:val="en-US"/>
        </w:rPr>
        <w:t>EU REACH restriction</w:t>
      </w:r>
      <w:r w:rsidRPr="002F22A4">
        <w:rPr>
          <w:lang w:val="en-US"/>
        </w:rPr>
        <w:t xml:space="preserve"> as the appropriate legislative instrument to achieve this goal while safeguarding the </w:t>
      </w:r>
      <w:r w:rsidRPr="002F22A4">
        <w:rPr>
          <w:b/>
          <w:bCs/>
          <w:lang w:val="en-US"/>
        </w:rPr>
        <w:t>integrity of the EU internal market</w:t>
      </w:r>
      <w:r w:rsidRPr="002F22A4">
        <w:rPr>
          <w:lang w:val="en-US"/>
        </w:rPr>
        <w:t>.</w:t>
      </w:r>
    </w:p>
    <w:p w14:paraId="10042574" w14:textId="77777777" w:rsidR="002F22A4" w:rsidRPr="002F22A4" w:rsidRDefault="002F22A4" w:rsidP="002F22A4">
      <w:pPr>
        <w:jc w:val="both"/>
        <w:rPr>
          <w:lang w:val="en-US"/>
        </w:rPr>
      </w:pPr>
      <w:r w:rsidRPr="002F22A4">
        <w:rPr>
          <w:lang w:val="en-US"/>
        </w:rPr>
        <w:t>We therefore respectfully request that the European Commission and the French authorities take these concerns into account and ensure that any national measures are fully aligned with EU law, proportionate, and provide sufficient lead time for compliance.</w:t>
      </w:r>
    </w:p>
    <w:p w14:paraId="61CED10C" w14:textId="77777777" w:rsidR="000705F4" w:rsidRPr="002F22A4" w:rsidRDefault="000705F4">
      <w:pPr>
        <w:rPr>
          <w:lang w:val="en-US"/>
        </w:rPr>
      </w:pPr>
    </w:p>
    <w:sectPr w:rsidR="000705F4" w:rsidRPr="002F22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2202B" w14:textId="77777777" w:rsidR="005C507D" w:rsidRDefault="005C507D" w:rsidP="005C507D">
      <w:pPr>
        <w:spacing w:after="0" w:line="240" w:lineRule="auto"/>
      </w:pPr>
      <w:r>
        <w:separator/>
      </w:r>
    </w:p>
  </w:endnote>
  <w:endnote w:type="continuationSeparator" w:id="0">
    <w:p w14:paraId="188AF307" w14:textId="77777777" w:rsidR="005C507D" w:rsidRDefault="005C507D" w:rsidP="005C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E057" w14:textId="77777777" w:rsidR="005C507D" w:rsidRDefault="005C50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A7D2" w14:textId="77777777" w:rsidR="005C507D" w:rsidRDefault="005C50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055" w14:textId="77777777" w:rsidR="005C507D" w:rsidRDefault="005C50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E8E8" w14:textId="77777777" w:rsidR="005C507D" w:rsidRDefault="005C507D" w:rsidP="005C507D">
      <w:pPr>
        <w:spacing w:after="0" w:line="240" w:lineRule="auto"/>
      </w:pPr>
      <w:r>
        <w:separator/>
      </w:r>
    </w:p>
  </w:footnote>
  <w:footnote w:type="continuationSeparator" w:id="0">
    <w:p w14:paraId="4DD52ACB" w14:textId="77777777" w:rsidR="005C507D" w:rsidRDefault="005C507D" w:rsidP="005C5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4E44" w14:textId="1BA58BDB" w:rsidR="005C507D" w:rsidRDefault="005C507D">
    <w:pPr>
      <w:pStyle w:val="En-tte"/>
    </w:pPr>
    <w:r>
      <w:rPr>
        <w:noProof/>
      </w:rPr>
      <w:pict w14:anchorId="5AEEF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80704"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BD00" w14:textId="6E8D4A55" w:rsidR="005C507D" w:rsidRDefault="005C507D">
    <w:pPr>
      <w:pStyle w:val="En-tte"/>
    </w:pPr>
    <w:r>
      <w:rPr>
        <w:noProof/>
      </w:rPr>
      <w:pict w14:anchorId="333AB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80705"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824E" w14:textId="0B6D2D12" w:rsidR="005C507D" w:rsidRDefault="005C507D">
    <w:pPr>
      <w:pStyle w:val="En-tte"/>
    </w:pPr>
    <w:r>
      <w:rPr>
        <w:noProof/>
      </w:rPr>
      <w:pict w14:anchorId="3CE3D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380703"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2C44"/>
    <w:multiLevelType w:val="multilevel"/>
    <w:tmpl w:val="E66A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22ACA"/>
    <w:multiLevelType w:val="multilevel"/>
    <w:tmpl w:val="67B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A2C61"/>
    <w:multiLevelType w:val="multilevel"/>
    <w:tmpl w:val="77CC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E159F"/>
    <w:multiLevelType w:val="multilevel"/>
    <w:tmpl w:val="5CE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A7BB1"/>
    <w:multiLevelType w:val="multilevel"/>
    <w:tmpl w:val="3668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443895">
    <w:abstractNumId w:val="4"/>
  </w:num>
  <w:num w:numId="2" w16cid:durableId="95832327">
    <w:abstractNumId w:val="1"/>
  </w:num>
  <w:num w:numId="3" w16cid:durableId="1555658366">
    <w:abstractNumId w:val="3"/>
  </w:num>
  <w:num w:numId="4" w16cid:durableId="1383555836">
    <w:abstractNumId w:val="0"/>
  </w:num>
  <w:num w:numId="5" w16cid:durableId="10396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A4"/>
    <w:rsid w:val="000705F4"/>
    <w:rsid w:val="002F22A4"/>
    <w:rsid w:val="003331DA"/>
    <w:rsid w:val="00570291"/>
    <w:rsid w:val="005C507D"/>
    <w:rsid w:val="00AF46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67760D"/>
  <w15:chartTrackingRefBased/>
  <w15:docId w15:val="{55F6A276-FF1D-4687-A301-1296AD1D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2F2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2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22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22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22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22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22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22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22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22A4"/>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2F22A4"/>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2F22A4"/>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2F22A4"/>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2F22A4"/>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2F22A4"/>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2F22A4"/>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2F22A4"/>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2F22A4"/>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2F2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22A4"/>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2F22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22A4"/>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2F22A4"/>
    <w:pPr>
      <w:spacing w:before="160"/>
      <w:jc w:val="center"/>
    </w:pPr>
    <w:rPr>
      <w:i/>
      <w:iCs/>
      <w:color w:val="404040" w:themeColor="text1" w:themeTint="BF"/>
    </w:rPr>
  </w:style>
  <w:style w:type="character" w:customStyle="1" w:styleId="CitationCar">
    <w:name w:val="Citation Car"/>
    <w:basedOn w:val="Policepardfaut"/>
    <w:link w:val="Citation"/>
    <w:uiPriority w:val="29"/>
    <w:rsid w:val="002F22A4"/>
    <w:rPr>
      <w:i/>
      <w:iCs/>
      <w:color w:val="404040" w:themeColor="text1" w:themeTint="BF"/>
      <w:lang w:val="en-GB"/>
    </w:rPr>
  </w:style>
  <w:style w:type="paragraph" w:styleId="Paragraphedeliste">
    <w:name w:val="List Paragraph"/>
    <w:basedOn w:val="Normal"/>
    <w:uiPriority w:val="34"/>
    <w:qFormat/>
    <w:rsid w:val="002F22A4"/>
    <w:pPr>
      <w:ind w:left="720"/>
      <w:contextualSpacing/>
    </w:pPr>
  </w:style>
  <w:style w:type="character" w:styleId="Accentuationintense">
    <w:name w:val="Intense Emphasis"/>
    <w:basedOn w:val="Policepardfaut"/>
    <w:uiPriority w:val="21"/>
    <w:qFormat/>
    <w:rsid w:val="002F22A4"/>
    <w:rPr>
      <w:i/>
      <w:iCs/>
      <w:color w:val="0F4761" w:themeColor="accent1" w:themeShade="BF"/>
    </w:rPr>
  </w:style>
  <w:style w:type="paragraph" w:styleId="Citationintense">
    <w:name w:val="Intense Quote"/>
    <w:basedOn w:val="Normal"/>
    <w:next w:val="Normal"/>
    <w:link w:val="CitationintenseCar"/>
    <w:uiPriority w:val="30"/>
    <w:qFormat/>
    <w:rsid w:val="002F2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22A4"/>
    <w:rPr>
      <w:i/>
      <w:iCs/>
      <w:color w:val="0F4761" w:themeColor="accent1" w:themeShade="BF"/>
      <w:lang w:val="en-GB"/>
    </w:rPr>
  </w:style>
  <w:style w:type="character" w:styleId="Rfrenceintense">
    <w:name w:val="Intense Reference"/>
    <w:basedOn w:val="Policepardfaut"/>
    <w:uiPriority w:val="32"/>
    <w:qFormat/>
    <w:rsid w:val="002F22A4"/>
    <w:rPr>
      <w:b/>
      <w:bCs/>
      <w:smallCaps/>
      <w:color w:val="0F4761" w:themeColor="accent1" w:themeShade="BF"/>
      <w:spacing w:val="5"/>
    </w:rPr>
  </w:style>
  <w:style w:type="paragraph" w:styleId="En-tte">
    <w:name w:val="header"/>
    <w:basedOn w:val="Normal"/>
    <w:link w:val="En-tteCar"/>
    <w:uiPriority w:val="99"/>
    <w:unhideWhenUsed/>
    <w:rsid w:val="005C507D"/>
    <w:pPr>
      <w:tabs>
        <w:tab w:val="center" w:pos="4536"/>
        <w:tab w:val="right" w:pos="9072"/>
      </w:tabs>
      <w:spacing w:after="0" w:line="240" w:lineRule="auto"/>
    </w:pPr>
  </w:style>
  <w:style w:type="character" w:customStyle="1" w:styleId="En-tteCar">
    <w:name w:val="En-tête Car"/>
    <w:basedOn w:val="Policepardfaut"/>
    <w:link w:val="En-tte"/>
    <w:uiPriority w:val="99"/>
    <w:rsid w:val="005C507D"/>
    <w:rPr>
      <w:lang w:val="en-GB"/>
    </w:rPr>
  </w:style>
  <w:style w:type="paragraph" w:styleId="Pieddepage">
    <w:name w:val="footer"/>
    <w:basedOn w:val="Normal"/>
    <w:link w:val="PieddepageCar"/>
    <w:uiPriority w:val="99"/>
    <w:unhideWhenUsed/>
    <w:rsid w:val="005C50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07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Pero / FESI</dc:creator>
  <cp:keywords/>
  <dc:description/>
  <cp:lastModifiedBy>Jérome Pero / FESI</cp:lastModifiedBy>
  <cp:revision>2</cp:revision>
  <dcterms:created xsi:type="dcterms:W3CDTF">2025-08-12T13:26:00Z</dcterms:created>
  <dcterms:modified xsi:type="dcterms:W3CDTF">2025-08-12T13:31:00Z</dcterms:modified>
</cp:coreProperties>
</file>