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3294" w14:textId="77777777" w:rsidR="0072177D" w:rsidRPr="00182BB3" w:rsidRDefault="00631E99">
      <w:pPr>
        <w:spacing w:before="120" w:after="0" w:line="280" w:lineRule="exact"/>
        <w:ind w:left="360" w:hanging="360"/>
        <w:jc w:val="center"/>
        <w:rPr>
          <w:rStyle w:val="Nessuno"/>
          <w:rFonts w:eastAsia="Helvetica" w:cs="Calibri"/>
          <w:b/>
          <w:bCs/>
          <w:color w:val="0070C0"/>
          <w:sz w:val="24"/>
          <w:szCs w:val="24"/>
          <w:u w:color="0070C0"/>
        </w:rPr>
      </w:pPr>
      <w:r w:rsidRPr="00182BB3">
        <w:rPr>
          <w:rStyle w:val="Nessuno"/>
          <w:rFonts w:cs="Calibri"/>
          <w:b/>
          <w:bCs/>
          <w:color w:val="0070C0"/>
          <w:sz w:val="24"/>
          <w:szCs w:val="24"/>
          <w:u w:color="0070C0"/>
        </w:rPr>
        <w:t>Misure di sostegno al sistema produttivo a seguito dell’emergenza Coronavirus</w:t>
      </w:r>
    </w:p>
    <w:p w14:paraId="0CFC3DE5" w14:textId="77777777" w:rsidR="0072177D" w:rsidRPr="00182BB3" w:rsidRDefault="00631E99">
      <w:pPr>
        <w:spacing w:before="120" w:after="0" w:line="280" w:lineRule="exact"/>
        <w:ind w:left="360" w:hanging="360"/>
        <w:jc w:val="center"/>
        <w:rPr>
          <w:rStyle w:val="Nessuno"/>
          <w:rFonts w:eastAsia="Helvetica" w:cs="Calibri"/>
          <w:i/>
          <w:iCs/>
          <w:color w:val="0070C0"/>
          <w:sz w:val="24"/>
          <w:szCs w:val="24"/>
          <w:u w:val="single" w:color="0070C0"/>
        </w:rPr>
      </w:pPr>
      <w:r w:rsidRPr="00182BB3">
        <w:rPr>
          <w:rStyle w:val="Nessuno"/>
          <w:rFonts w:cs="Calibri"/>
          <w:i/>
          <w:iCs/>
          <w:color w:val="0070C0"/>
          <w:sz w:val="24"/>
          <w:szCs w:val="24"/>
          <w:u w:val="single" w:color="0070C0"/>
        </w:rPr>
        <w:t>Prime proposte di Confindustria</w:t>
      </w:r>
    </w:p>
    <w:p w14:paraId="43DF43C5" w14:textId="77777777" w:rsidR="0072177D" w:rsidRPr="00182BB3" w:rsidRDefault="0072177D">
      <w:pPr>
        <w:spacing w:before="120" w:after="0" w:line="280" w:lineRule="exact"/>
        <w:ind w:left="360" w:hanging="360"/>
        <w:jc w:val="center"/>
        <w:rPr>
          <w:rStyle w:val="Nessuno"/>
          <w:rFonts w:eastAsia="Helvetica" w:cs="Calibri"/>
          <w:b/>
          <w:bCs/>
          <w:color w:val="0070C0"/>
          <w:sz w:val="24"/>
          <w:szCs w:val="24"/>
          <w:u w:color="0070C0"/>
        </w:rPr>
      </w:pPr>
    </w:p>
    <w:p w14:paraId="6737C4A4" w14:textId="77777777" w:rsidR="0072177D" w:rsidRPr="00182BB3" w:rsidRDefault="00631E99">
      <w:pPr>
        <w:spacing w:before="120" w:after="0" w:line="280" w:lineRule="exact"/>
        <w:jc w:val="both"/>
        <w:rPr>
          <w:rStyle w:val="Nessuno"/>
          <w:rFonts w:cs="Calibri"/>
          <w:sz w:val="24"/>
          <w:szCs w:val="24"/>
        </w:rPr>
      </w:pPr>
      <w:r w:rsidRPr="00182BB3">
        <w:rPr>
          <w:rStyle w:val="Nessuno"/>
          <w:rFonts w:cs="Calibri"/>
          <w:sz w:val="24"/>
          <w:szCs w:val="24"/>
        </w:rPr>
        <w:t xml:space="preserve">Confindustria ritiene che i necessari interventi straordinari per contrastare l’epidemia del Coronavirus non debbano limitare in modo irragionevole l’esercizio delle attività economiche e, pertanto, auspica una </w:t>
      </w:r>
      <w:r w:rsidRPr="00182BB3">
        <w:rPr>
          <w:rStyle w:val="Nessuno"/>
          <w:rFonts w:cs="Calibri"/>
          <w:i/>
          <w:iCs/>
          <w:sz w:val="24"/>
          <w:szCs w:val="24"/>
        </w:rPr>
        <w:t>governance</w:t>
      </w:r>
      <w:r w:rsidRPr="00182BB3">
        <w:rPr>
          <w:rStyle w:val="Nessuno"/>
          <w:rFonts w:cs="Calibri"/>
          <w:sz w:val="24"/>
          <w:szCs w:val="24"/>
        </w:rPr>
        <w:t xml:space="preserve"> efficiente e coordinata dalla Presidenza del Consiglio, che eviti misure estemporanee e frammentate da parte delle diverse Autorità coinvolte.</w:t>
      </w:r>
    </w:p>
    <w:p w14:paraId="617FACE1" w14:textId="77777777" w:rsidR="0072177D" w:rsidRPr="00182BB3" w:rsidRDefault="00631E99">
      <w:pPr>
        <w:spacing w:before="120" w:after="0" w:line="280" w:lineRule="exact"/>
        <w:jc w:val="both"/>
        <w:rPr>
          <w:rStyle w:val="Nessuno"/>
          <w:rFonts w:cs="Calibri"/>
          <w:sz w:val="24"/>
          <w:szCs w:val="24"/>
        </w:rPr>
      </w:pPr>
      <w:r w:rsidRPr="00182BB3">
        <w:rPr>
          <w:rStyle w:val="Nessuno"/>
          <w:rFonts w:cs="Calibri"/>
          <w:sz w:val="24"/>
          <w:szCs w:val="24"/>
        </w:rPr>
        <w:t>Ad esempio, nell’ambito della logistica, è indispensabile prevedere modalità operative e forme di coordinamento per assicurare la movimentazione delle merci su tutto il territorio nazionale.</w:t>
      </w:r>
    </w:p>
    <w:p w14:paraId="7A1823C1" w14:textId="77777777" w:rsidR="0072177D" w:rsidRPr="00182BB3" w:rsidRDefault="00631E99">
      <w:pPr>
        <w:spacing w:before="120" w:after="0" w:line="280" w:lineRule="exact"/>
        <w:jc w:val="both"/>
        <w:rPr>
          <w:rStyle w:val="Nessuno"/>
          <w:rFonts w:cs="Calibri"/>
          <w:sz w:val="24"/>
          <w:szCs w:val="24"/>
        </w:rPr>
      </w:pPr>
      <w:r w:rsidRPr="00182BB3">
        <w:rPr>
          <w:rStyle w:val="Nessuno"/>
          <w:rFonts w:cs="Calibri"/>
          <w:sz w:val="24"/>
          <w:szCs w:val="24"/>
        </w:rPr>
        <w:t>In linea generale, resta prioritario – anche per tutelare l’immagine nel nostro Paese a livello internazionale ed evitare barriere non tariffarie sul nostro export – il mantenimento dell’operatività delle imprese, garantendo continuità nei flussi di approvvigionamento e di distribuzione, nonché interventi specifici sulle dinamiche occupazionali (es. ammortizzatori sociali)</w:t>
      </w:r>
      <w:r w:rsidR="00155DF3">
        <w:rPr>
          <w:rStyle w:val="Nessuno"/>
          <w:rFonts w:cs="Calibri"/>
          <w:sz w:val="24"/>
          <w:szCs w:val="24"/>
        </w:rPr>
        <w:t>,</w:t>
      </w:r>
      <w:r w:rsidRPr="00182BB3">
        <w:rPr>
          <w:rStyle w:val="Nessuno"/>
          <w:rFonts w:cs="Calibri"/>
          <w:sz w:val="24"/>
          <w:szCs w:val="24"/>
        </w:rPr>
        <w:t xml:space="preserve"> anche al di fuori della cd. zona rossa.</w:t>
      </w:r>
    </w:p>
    <w:p w14:paraId="0B209229" w14:textId="7ABAB4CA" w:rsidR="0072177D" w:rsidRDefault="00631E99">
      <w:pPr>
        <w:spacing w:before="120" w:after="0" w:line="280" w:lineRule="exact"/>
        <w:jc w:val="both"/>
        <w:rPr>
          <w:rStyle w:val="Nessuno"/>
          <w:rFonts w:cs="Calibri"/>
          <w:sz w:val="24"/>
          <w:szCs w:val="24"/>
        </w:rPr>
      </w:pPr>
      <w:r w:rsidRPr="00182BB3">
        <w:rPr>
          <w:rStyle w:val="Nessuno"/>
          <w:rFonts w:cs="Calibri"/>
          <w:sz w:val="24"/>
          <w:szCs w:val="24"/>
        </w:rPr>
        <w:t>Inoltre, è necessario un continuo confronto con i rappresentanti delle imprese per addivenire a decisioni efficaci e condivise per il sostegno alle attività produttive, che stanno già subendo ripercussioni negative legate all’epidemia.</w:t>
      </w:r>
    </w:p>
    <w:p w14:paraId="7B93E9DC" w14:textId="77777777" w:rsidR="0072177D" w:rsidRPr="00182BB3" w:rsidRDefault="0072177D">
      <w:pPr>
        <w:spacing w:before="120" w:after="0" w:line="280" w:lineRule="exact"/>
        <w:ind w:left="360" w:hanging="360"/>
        <w:jc w:val="both"/>
        <w:rPr>
          <w:rStyle w:val="Nessuno"/>
          <w:rFonts w:eastAsia="Helvetica" w:cs="Calibri"/>
          <w:b/>
          <w:bCs/>
          <w:color w:val="0070C0"/>
          <w:sz w:val="24"/>
          <w:szCs w:val="24"/>
          <w:u w:color="0070C0"/>
        </w:rPr>
      </w:pPr>
    </w:p>
    <w:p w14:paraId="747F9B40" w14:textId="77777777" w:rsidR="0072177D" w:rsidRPr="00182BB3" w:rsidRDefault="00631E99">
      <w:pPr>
        <w:pStyle w:val="Paragrafoelenco"/>
        <w:numPr>
          <w:ilvl w:val="0"/>
          <w:numId w:val="2"/>
        </w:numPr>
        <w:spacing w:before="120" w:after="0" w:line="280" w:lineRule="exact"/>
        <w:jc w:val="both"/>
        <w:rPr>
          <w:rFonts w:cs="Calibri"/>
          <w:b/>
          <w:bCs/>
          <w:color w:val="0070C0"/>
          <w:sz w:val="24"/>
          <w:szCs w:val="24"/>
        </w:rPr>
      </w:pPr>
      <w:r w:rsidRPr="00182BB3">
        <w:rPr>
          <w:rStyle w:val="Nessuno"/>
          <w:rFonts w:cs="Calibri"/>
          <w:b/>
          <w:bCs/>
          <w:color w:val="0070C0"/>
          <w:sz w:val="24"/>
          <w:szCs w:val="24"/>
          <w:u w:val="single" w:color="0070C0"/>
        </w:rPr>
        <w:t xml:space="preserve">Sospensione di termini </w:t>
      </w:r>
    </w:p>
    <w:p w14:paraId="5E73C9AE" w14:textId="77777777" w:rsidR="0072177D" w:rsidRPr="00182BB3" w:rsidRDefault="00631E99">
      <w:pPr>
        <w:spacing w:before="120" w:after="0" w:line="280" w:lineRule="exact"/>
        <w:jc w:val="both"/>
        <w:rPr>
          <w:rStyle w:val="Nessuno"/>
          <w:rFonts w:cs="Calibri"/>
          <w:sz w:val="24"/>
          <w:szCs w:val="24"/>
          <w:shd w:val="clear" w:color="auto" w:fill="FFFF00"/>
        </w:rPr>
      </w:pPr>
      <w:r w:rsidRPr="00182BB3">
        <w:rPr>
          <w:rStyle w:val="Nessuno"/>
          <w:rFonts w:cs="Calibri"/>
          <w:sz w:val="24"/>
          <w:szCs w:val="24"/>
        </w:rPr>
        <w:t>Vanno disposti la sospensione e il differimento dei termini di versamenti e adempimenti di natura tributaria, compresi quelli relativi alle imposte locali, dei contributi previdenziali e assistenziali, nonché dei premi per l’assicurazione obbligatoria aventi scadenza nel periodo compreso tra il</w:t>
      </w:r>
      <w:r w:rsidR="00182BB3">
        <w:rPr>
          <w:rStyle w:val="Nessuno"/>
          <w:rFonts w:cs="Calibri"/>
          <w:sz w:val="24"/>
          <w:szCs w:val="24"/>
        </w:rPr>
        <w:t xml:space="preserve"> 21 febbraio e la data che decreterà la fine dello stato di emergenza (il primo Decreto del Ministro delle Finanze ha, per il momento, utilmente disposto la sospensione dei termini scadenti fino al 31 marzo 2020).</w:t>
      </w:r>
    </w:p>
    <w:p w14:paraId="1B0CF38D" w14:textId="67E050E7" w:rsidR="0072177D" w:rsidRPr="00182BB3" w:rsidRDefault="00631E99">
      <w:pPr>
        <w:spacing w:before="120" w:after="0" w:line="280" w:lineRule="exact"/>
        <w:jc w:val="both"/>
        <w:rPr>
          <w:rStyle w:val="Nessuno"/>
          <w:rFonts w:cs="Calibri"/>
          <w:sz w:val="24"/>
          <w:szCs w:val="24"/>
          <w:shd w:val="clear" w:color="auto" w:fill="FFFF00"/>
        </w:rPr>
      </w:pPr>
      <w:r w:rsidRPr="00182BB3">
        <w:rPr>
          <w:rStyle w:val="Nessuno"/>
          <w:rFonts w:cs="Calibri"/>
          <w:sz w:val="24"/>
          <w:szCs w:val="24"/>
        </w:rPr>
        <w:t>A tal fine, l’auspicio di Confindustria è che con i provvedimenti che saranno adottati, ai sensi dell’art</w:t>
      </w:r>
      <w:r w:rsidR="00237395">
        <w:rPr>
          <w:rStyle w:val="Nessuno"/>
          <w:rFonts w:cs="Calibri"/>
          <w:sz w:val="24"/>
          <w:szCs w:val="24"/>
        </w:rPr>
        <w:t>icolo</w:t>
      </w:r>
      <w:r w:rsidRPr="00182BB3">
        <w:rPr>
          <w:rStyle w:val="Nessuno"/>
          <w:rFonts w:cs="Calibri"/>
          <w:sz w:val="24"/>
          <w:szCs w:val="24"/>
        </w:rPr>
        <w:t xml:space="preserve"> 3 del DL n. 6/2020, si possa definire il perimetro di applicazione e dei soggetti interessati dalle misure emergenziali di natura economica, in modo da garantire un efficace sostegno alle difficoltà economiche che l</w:t>
      </w:r>
      <w:r w:rsidRPr="005D5489">
        <w:rPr>
          <w:rStyle w:val="Nessuno"/>
          <w:rFonts w:cs="Calibri"/>
          <w:sz w:val="24"/>
          <w:szCs w:val="24"/>
        </w:rPr>
        <w:t>e</w:t>
      </w:r>
      <w:r w:rsidR="00182BB3" w:rsidRPr="005D5489">
        <w:rPr>
          <w:rStyle w:val="Nessuno"/>
          <w:rFonts w:cs="Calibri"/>
          <w:sz w:val="24"/>
          <w:szCs w:val="24"/>
        </w:rPr>
        <w:t xml:space="preserve"> circostanze sanitarie stanno producendo.</w:t>
      </w:r>
      <w:r w:rsidRPr="00182BB3">
        <w:rPr>
          <w:rStyle w:val="Nessuno"/>
          <w:rFonts w:cs="Calibri"/>
          <w:sz w:val="24"/>
          <w:szCs w:val="24"/>
          <w:shd w:val="clear" w:color="auto" w:fill="FFFF00"/>
        </w:rPr>
        <w:t xml:space="preserve"> </w:t>
      </w:r>
    </w:p>
    <w:p w14:paraId="5AE82BCF" w14:textId="77777777" w:rsidR="0072177D" w:rsidRPr="00182BB3" w:rsidRDefault="00631E99">
      <w:pPr>
        <w:spacing w:before="120" w:after="0" w:line="280" w:lineRule="exact"/>
        <w:jc w:val="both"/>
        <w:rPr>
          <w:rStyle w:val="Nessuno"/>
          <w:rFonts w:cs="Calibri"/>
          <w:sz w:val="24"/>
          <w:szCs w:val="24"/>
        </w:rPr>
      </w:pPr>
      <w:r w:rsidRPr="00182BB3">
        <w:rPr>
          <w:rStyle w:val="Nessuno"/>
          <w:rFonts w:cs="Calibri"/>
          <w:sz w:val="24"/>
          <w:szCs w:val="24"/>
        </w:rPr>
        <w:t>Con riguardo alle ritenute fiscali - anche alla luce di quanto già disposto</w:t>
      </w:r>
      <w:r w:rsidR="00182BB3">
        <w:rPr>
          <w:rStyle w:val="Nessuno"/>
          <w:rFonts w:cs="Calibri"/>
          <w:sz w:val="24"/>
          <w:szCs w:val="24"/>
        </w:rPr>
        <w:t xml:space="preserve"> con il </w:t>
      </w:r>
      <w:r w:rsidRPr="00182BB3">
        <w:rPr>
          <w:rStyle w:val="Nessuno"/>
          <w:rFonts w:cs="Calibri"/>
          <w:sz w:val="24"/>
          <w:szCs w:val="24"/>
        </w:rPr>
        <w:t xml:space="preserve">Decreto del Ministro delle Finanze, adottato il 24 febbraio scorso - sarebbe quanto mai opportuno ed urgente rendere omogenea la platea dei soggetti nei cui confronti opera la sospensione dall’effettuazione delle stesse. In particolare, onde evitare distorsioni dall’applicazione della misura appena varata, i sostituti di imposta, ovunque residenti, dovrebbero essere messi nella condizione di non operare le ritenute alla fonte nei confronti </w:t>
      </w:r>
      <w:r w:rsidRPr="00182BB3">
        <w:rPr>
          <w:rStyle w:val="Nessuno"/>
          <w:rFonts w:cs="Calibri"/>
          <w:sz w:val="24"/>
          <w:szCs w:val="24"/>
          <w:shd w:val="clear" w:color="auto" w:fill="FFFFFF"/>
        </w:rPr>
        <w:t>d</w:t>
      </w:r>
      <w:r w:rsidRPr="005D5489">
        <w:rPr>
          <w:rStyle w:val="Nessuno"/>
          <w:rFonts w:cs="Calibri"/>
          <w:sz w:val="24"/>
          <w:szCs w:val="24"/>
          <w:shd w:val="clear" w:color="auto" w:fill="FFFFFF"/>
        </w:rPr>
        <w:t xml:space="preserve">ei contribuenti (specie </w:t>
      </w:r>
      <w:r w:rsidRPr="00182BB3">
        <w:rPr>
          <w:rStyle w:val="Nessuno"/>
          <w:rFonts w:cs="Calibri"/>
          <w:sz w:val="24"/>
          <w:szCs w:val="24"/>
          <w:shd w:val="clear" w:color="auto" w:fill="FFFFFF"/>
        </w:rPr>
        <w:t>lavoratori dipendenti</w:t>
      </w:r>
      <w:r w:rsidRPr="005D5489">
        <w:rPr>
          <w:rStyle w:val="Nessuno"/>
          <w:rFonts w:cs="Calibri"/>
          <w:sz w:val="24"/>
          <w:szCs w:val="24"/>
          <w:shd w:val="clear" w:color="auto" w:fill="FFFFFF"/>
        </w:rPr>
        <w:t xml:space="preserve">) </w:t>
      </w:r>
      <w:r w:rsidRPr="00182BB3">
        <w:rPr>
          <w:rStyle w:val="Nessuno"/>
          <w:rFonts w:cs="Calibri"/>
          <w:sz w:val="24"/>
          <w:szCs w:val="24"/>
        </w:rPr>
        <w:t xml:space="preserve">sottoposti a misure restrittive di cui all’articolo 1, comma 1, del DL n. 6/2020, sempreché gli stessi ne facciano una specifica richiesta. </w:t>
      </w:r>
    </w:p>
    <w:p w14:paraId="17E577E6" w14:textId="77777777" w:rsidR="0072177D" w:rsidRPr="00182BB3" w:rsidRDefault="00631E99">
      <w:pPr>
        <w:spacing w:before="120" w:after="0" w:line="280" w:lineRule="exact"/>
        <w:jc w:val="both"/>
        <w:rPr>
          <w:rStyle w:val="Nessuno"/>
          <w:rFonts w:cs="Calibri"/>
          <w:sz w:val="24"/>
          <w:szCs w:val="24"/>
        </w:rPr>
      </w:pPr>
      <w:r w:rsidRPr="00182BB3">
        <w:rPr>
          <w:rStyle w:val="Nessuno"/>
          <w:rFonts w:cs="Calibri"/>
          <w:sz w:val="24"/>
          <w:szCs w:val="24"/>
        </w:rPr>
        <w:t>I termini da sospendere:</w:t>
      </w:r>
    </w:p>
    <w:p w14:paraId="593561E8" w14:textId="77777777" w:rsidR="0072177D" w:rsidRPr="00182BB3" w:rsidRDefault="00631E99">
      <w:pPr>
        <w:pStyle w:val="Paragrafoelenco"/>
        <w:numPr>
          <w:ilvl w:val="0"/>
          <w:numId w:val="4"/>
        </w:numPr>
        <w:spacing w:before="120" w:after="0" w:line="280" w:lineRule="exact"/>
        <w:jc w:val="both"/>
        <w:rPr>
          <w:rFonts w:cs="Calibri"/>
          <w:sz w:val="24"/>
          <w:szCs w:val="24"/>
        </w:rPr>
      </w:pPr>
      <w:r w:rsidRPr="00182BB3">
        <w:rPr>
          <w:rStyle w:val="Nessuno"/>
          <w:rFonts w:cs="Calibri"/>
          <w:sz w:val="24"/>
          <w:szCs w:val="24"/>
        </w:rPr>
        <w:t xml:space="preserve">versamento dei contributi previdenziali e assistenziali e dei premi assicurativi </w:t>
      </w:r>
      <w:r w:rsidR="00155DF3">
        <w:rPr>
          <w:rStyle w:val="Nessuno"/>
          <w:rFonts w:cs="Calibri"/>
          <w:sz w:val="24"/>
          <w:szCs w:val="24"/>
        </w:rPr>
        <w:t>INAIL</w:t>
      </w:r>
      <w:r w:rsidRPr="00182BB3">
        <w:rPr>
          <w:rStyle w:val="Nessuno"/>
          <w:rFonts w:cs="Calibri"/>
          <w:sz w:val="24"/>
          <w:szCs w:val="24"/>
        </w:rPr>
        <w:t xml:space="preserve"> </w:t>
      </w:r>
    </w:p>
    <w:p w14:paraId="6FF9F9B0" w14:textId="37A60AA5" w:rsidR="0072177D" w:rsidRPr="00E46DA8" w:rsidRDefault="00631E99" w:rsidP="00E46DA8">
      <w:pPr>
        <w:pStyle w:val="Paragrafoelenco"/>
        <w:numPr>
          <w:ilvl w:val="0"/>
          <w:numId w:val="4"/>
        </w:numPr>
        <w:spacing w:before="120" w:after="0" w:line="280" w:lineRule="exact"/>
        <w:jc w:val="both"/>
        <w:rPr>
          <w:rFonts w:cs="Calibri"/>
          <w:sz w:val="24"/>
          <w:szCs w:val="24"/>
        </w:rPr>
      </w:pPr>
      <w:r w:rsidRPr="00182BB3">
        <w:rPr>
          <w:rStyle w:val="Nessuno"/>
          <w:rFonts w:cs="Calibri"/>
          <w:sz w:val="24"/>
          <w:szCs w:val="24"/>
        </w:rPr>
        <w:t xml:space="preserve">adempimenti in materia di salute e sicurezza </w:t>
      </w:r>
      <w:r w:rsidR="00E46DA8" w:rsidRPr="00E46DA8">
        <w:rPr>
          <w:rFonts w:cs="Calibri"/>
          <w:sz w:val="24"/>
          <w:szCs w:val="24"/>
        </w:rPr>
        <w:t>adempimenti in materia di salute e sicurezza (es. scadenza aggiornamento della formazione) e scadenze delle certificazioni abilitative al lavoro (es. PES, PAV, PEI, primo soccorso, spazi confinati, antincendio, h2s, amianto, lavori in quota, preposti, imbracatori e segnalatori, utilizzo macchinari);</w:t>
      </w:r>
    </w:p>
    <w:p w14:paraId="63ECD12B" w14:textId="3B159E06" w:rsidR="0072177D" w:rsidRPr="00182BB3" w:rsidRDefault="00631E99">
      <w:pPr>
        <w:pStyle w:val="Paragrafoelenco"/>
        <w:numPr>
          <w:ilvl w:val="0"/>
          <w:numId w:val="4"/>
        </w:numPr>
        <w:spacing w:before="120" w:after="0" w:line="280" w:lineRule="exact"/>
        <w:jc w:val="both"/>
        <w:rPr>
          <w:rFonts w:cs="Calibri"/>
          <w:sz w:val="24"/>
          <w:szCs w:val="24"/>
        </w:rPr>
      </w:pPr>
      <w:r w:rsidRPr="00182BB3">
        <w:rPr>
          <w:rStyle w:val="Nessuno"/>
          <w:rFonts w:cs="Calibri"/>
          <w:sz w:val="24"/>
          <w:szCs w:val="24"/>
        </w:rPr>
        <w:lastRenderedPageBreak/>
        <w:t>adempimenti verso l’I</w:t>
      </w:r>
      <w:r w:rsidR="00237395">
        <w:rPr>
          <w:rStyle w:val="Nessuno"/>
          <w:rFonts w:cs="Calibri"/>
          <w:sz w:val="24"/>
          <w:szCs w:val="24"/>
        </w:rPr>
        <w:t>NPS</w:t>
      </w:r>
      <w:r w:rsidRPr="00182BB3">
        <w:rPr>
          <w:rStyle w:val="Nessuno"/>
          <w:rFonts w:cs="Calibri"/>
          <w:sz w:val="24"/>
          <w:szCs w:val="24"/>
        </w:rPr>
        <w:t xml:space="preserve"> e il Ministero del lavoro (es. termini di decadenza dalla domanda di CIGO e CIGS, obblighi di assunzione ai sensi della legge n. 68/1999) e verso l’I</w:t>
      </w:r>
      <w:r w:rsidR="00155DF3">
        <w:rPr>
          <w:rStyle w:val="Nessuno"/>
          <w:rFonts w:cs="Calibri"/>
          <w:sz w:val="24"/>
          <w:szCs w:val="24"/>
        </w:rPr>
        <w:t>NAIL</w:t>
      </w:r>
      <w:r w:rsidRPr="00182BB3">
        <w:rPr>
          <w:rStyle w:val="Nessuno"/>
          <w:rFonts w:cs="Calibri"/>
          <w:sz w:val="24"/>
          <w:szCs w:val="24"/>
        </w:rPr>
        <w:t xml:space="preserve"> (es. autoliquidazione, OT23, bando ISI)</w:t>
      </w:r>
    </w:p>
    <w:p w14:paraId="0F213EC2" w14:textId="77777777" w:rsidR="0072177D" w:rsidRPr="00182BB3" w:rsidRDefault="00182BB3">
      <w:pPr>
        <w:pStyle w:val="Paragrafoelenco"/>
        <w:numPr>
          <w:ilvl w:val="0"/>
          <w:numId w:val="4"/>
        </w:numPr>
        <w:spacing w:before="120" w:after="0" w:line="280" w:lineRule="exact"/>
        <w:jc w:val="both"/>
        <w:rPr>
          <w:rFonts w:cs="Calibri"/>
          <w:sz w:val="24"/>
          <w:szCs w:val="24"/>
        </w:rPr>
      </w:pPr>
      <w:r>
        <w:rPr>
          <w:rStyle w:val="Nessuno"/>
          <w:rFonts w:cs="Calibri"/>
          <w:sz w:val="24"/>
          <w:szCs w:val="24"/>
        </w:rPr>
        <w:t>effettuazione del</w:t>
      </w:r>
      <w:r w:rsidR="00631E99" w:rsidRPr="00182BB3">
        <w:rPr>
          <w:rStyle w:val="Nessuno"/>
          <w:rFonts w:cs="Calibri"/>
          <w:sz w:val="24"/>
          <w:szCs w:val="24"/>
        </w:rPr>
        <w:t>le ritenute su redditi di lavoro dipendente e assimilato e sui compensi erogati</w:t>
      </w:r>
    </w:p>
    <w:p w14:paraId="09714DAE" w14:textId="475C0F77" w:rsidR="0072177D" w:rsidRPr="00182BB3" w:rsidRDefault="00631E99">
      <w:pPr>
        <w:pStyle w:val="Paragrafoelenco"/>
        <w:numPr>
          <w:ilvl w:val="0"/>
          <w:numId w:val="4"/>
        </w:numPr>
        <w:spacing w:before="120" w:after="0" w:line="280" w:lineRule="exact"/>
        <w:jc w:val="both"/>
        <w:rPr>
          <w:rFonts w:cs="Calibri"/>
          <w:sz w:val="24"/>
          <w:szCs w:val="24"/>
        </w:rPr>
      </w:pPr>
      <w:r w:rsidRPr="00182BB3">
        <w:rPr>
          <w:rStyle w:val="Nessuno"/>
          <w:rFonts w:cs="Calibri"/>
          <w:sz w:val="24"/>
          <w:szCs w:val="24"/>
        </w:rPr>
        <w:t>versamento degli importi iscritti a ruolo, anche oggetto di rateizzazione, con scadenza nel periodo della sospensione deriva</w:t>
      </w:r>
      <w:r w:rsidR="00237395">
        <w:rPr>
          <w:rStyle w:val="Nessuno"/>
          <w:rFonts w:cs="Calibri"/>
          <w:sz w:val="24"/>
          <w:szCs w:val="24"/>
        </w:rPr>
        <w:t>n</w:t>
      </w:r>
      <w:r w:rsidRPr="00182BB3">
        <w:rPr>
          <w:rStyle w:val="Nessuno"/>
          <w:rFonts w:cs="Calibri"/>
          <w:sz w:val="24"/>
          <w:szCs w:val="24"/>
        </w:rPr>
        <w:t>ti da cartelle di pagamento emesse dagli agenti della riscossione o</w:t>
      </w:r>
      <w:r w:rsidR="00182BB3">
        <w:rPr>
          <w:rStyle w:val="Nessuno"/>
          <w:rFonts w:cs="Calibri"/>
          <w:sz w:val="24"/>
          <w:szCs w:val="24"/>
        </w:rPr>
        <w:t xml:space="preserve"> da </w:t>
      </w:r>
      <w:r w:rsidRPr="00182BB3">
        <w:rPr>
          <w:rStyle w:val="Nessuno"/>
          <w:rFonts w:cs="Calibri"/>
          <w:sz w:val="24"/>
          <w:szCs w:val="24"/>
        </w:rPr>
        <w:t>accertamenti esecutivi</w:t>
      </w:r>
    </w:p>
    <w:p w14:paraId="5ABDBE56" w14:textId="77777777" w:rsidR="0072177D" w:rsidRPr="00182BB3" w:rsidRDefault="00631E99">
      <w:pPr>
        <w:pStyle w:val="Paragrafoelenco"/>
        <w:numPr>
          <w:ilvl w:val="0"/>
          <w:numId w:val="4"/>
        </w:numPr>
        <w:spacing w:before="120" w:after="0" w:line="280" w:lineRule="exact"/>
        <w:jc w:val="both"/>
        <w:rPr>
          <w:rFonts w:cs="Calibri"/>
          <w:sz w:val="24"/>
          <w:szCs w:val="24"/>
        </w:rPr>
      </w:pPr>
      <w:r w:rsidRPr="00182BB3">
        <w:rPr>
          <w:rStyle w:val="Nessuno"/>
          <w:rFonts w:cs="Calibri"/>
          <w:sz w:val="24"/>
          <w:szCs w:val="24"/>
        </w:rPr>
        <w:t>versamento degli importi dovuti per effetto di accertamento con adesione, definizione delle sanzioni, definizione dei processi verbali di constatazione e degli inviti al contraddittorio, reclamo e mediazione tributaria, conciliazione giudiziale</w:t>
      </w:r>
    </w:p>
    <w:p w14:paraId="3C3BD6F0" w14:textId="77777777" w:rsidR="0072177D" w:rsidRPr="00182BB3" w:rsidRDefault="00631E99">
      <w:pPr>
        <w:pStyle w:val="Paragrafoelenco"/>
        <w:numPr>
          <w:ilvl w:val="0"/>
          <w:numId w:val="4"/>
        </w:numPr>
        <w:spacing w:before="120" w:after="0" w:line="280" w:lineRule="exact"/>
        <w:jc w:val="both"/>
        <w:rPr>
          <w:rFonts w:cs="Calibri"/>
          <w:sz w:val="24"/>
          <w:szCs w:val="24"/>
        </w:rPr>
      </w:pPr>
      <w:r w:rsidRPr="00182BB3">
        <w:rPr>
          <w:rStyle w:val="Nessuno"/>
          <w:rFonts w:cs="Calibri"/>
          <w:sz w:val="24"/>
          <w:szCs w:val="24"/>
        </w:rPr>
        <w:t>versamento degli importi dovuti per effetto dell’adesione alle misure in materia di pacificazione fiscale di cui al decreto-legge 23 ottobre 2018, n. 119</w:t>
      </w:r>
    </w:p>
    <w:p w14:paraId="5EB18C07" w14:textId="77777777" w:rsidR="0072177D" w:rsidRPr="00182BB3" w:rsidRDefault="00631E99">
      <w:pPr>
        <w:pStyle w:val="Paragrafoelenco"/>
        <w:numPr>
          <w:ilvl w:val="0"/>
          <w:numId w:val="4"/>
        </w:numPr>
        <w:spacing w:before="120" w:after="0" w:line="280" w:lineRule="exact"/>
        <w:jc w:val="both"/>
        <w:rPr>
          <w:rFonts w:cs="Calibri"/>
          <w:sz w:val="24"/>
          <w:szCs w:val="24"/>
        </w:rPr>
      </w:pPr>
      <w:r w:rsidRPr="00182BB3">
        <w:rPr>
          <w:rStyle w:val="Nessuno"/>
          <w:rFonts w:cs="Calibri"/>
          <w:sz w:val="24"/>
          <w:szCs w:val="24"/>
        </w:rPr>
        <w:t>versamenti periodici IVA</w:t>
      </w:r>
    </w:p>
    <w:p w14:paraId="5C55D663" w14:textId="77777777" w:rsidR="0072177D" w:rsidRPr="00182BB3" w:rsidRDefault="00631E99">
      <w:pPr>
        <w:pStyle w:val="Paragrafoelenco"/>
        <w:numPr>
          <w:ilvl w:val="0"/>
          <w:numId w:val="4"/>
        </w:numPr>
        <w:spacing w:before="120" w:after="0" w:line="280" w:lineRule="exact"/>
        <w:jc w:val="both"/>
        <w:rPr>
          <w:rFonts w:cs="Calibri"/>
          <w:sz w:val="24"/>
          <w:szCs w:val="24"/>
        </w:rPr>
      </w:pPr>
      <w:r w:rsidRPr="00182BB3">
        <w:rPr>
          <w:rStyle w:val="Nessuno"/>
          <w:rFonts w:cs="Calibri"/>
          <w:sz w:val="24"/>
          <w:szCs w:val="24"/>
        </w:rPr>
        <w:t>adempimenti dichiarativi e comunicativi IVA (in particolare, dichiarazione IVA annuale, comunicazioni liquidazioni periodiche,</w:t>
      </w:r>
      <w:r w:rsidR="00182BB3">
        <w:rPr>
          <w:rStyle w:val="Nessuno"/>
          <w:rFonts w:cs="Calibri"/>
          <w:sz w:val="24"/>
          <w:szCs w:val="24"/>
        </w:rPr>
        <w:t xml:space="preserve"> esterometro</w:t>
      </w:r>
      <w:r w:rsidRPr="00182BB3">
        <w:rPr>
          <w:rStyle w:val="Nessuno"/>
          <w:rFonts w:cs="Calibri"/>
          <w:sz w:val="24"/>
          <w:szCs w:val="24"/>
        </w:rPr>
        <w:t>, qualora la sospensione si protragga oltre marzo)</w:t>
      </w:r>
    </w:p>
    <w:p w14:paraId="640E78BE" w14:textId="77777777" w:rsidR="0072177D" w:rsidRPr="00182BB3" w:rsidRDefault="00631E99">
      <w:pPr>
        <w:pStyle w:val="Paragrafoelenco"/>
        <w:numPr>
          <w:ilvl w:val="0"/>
          <w:numId w:val="4"/>
        </w:numPr>
        <w:spacing w:before="120" w:after="0" w:line="280" w:lineRule="exact"/>
        <w:jc w:val="both"/>
        <w:rPr>
          <w:rFonts w:cs="Calibri"/>
          <w:sz w:val="24"/>
          <w:szCs w:val="24"/>
        </w:rPr>
      </w:pPr>
      <w:r w:rsidRPr="00182BB3">
        <w:rPr>
          <w:rStyle w:val="Nessuno"/>
          <w:rFonts w:cs="Calibri"/>
          <w:sz w:val="24"/>
          <w:szCs w:val="24"/>
        </w:rPr>
        <w:t>adempimenti di documentazione fiscale ai fini IVA relativi ad operazioni effettuate prima dell’adozione del DL n. 6/2020 (fatturazione)</w:t>
      </w:r>
    </w:p>
    <w:p w14:paraId="1A3AF6A1" w14:textId="77777777" w:rsidR="0072177D" w:rsidRPr="00182BB3" w:rsidRDefault="00631E99">
      <w:pPr>
        <w:pStyle w:val="Paragrafoelenco"/>
        <w:numPr>
          <w:ilvl w:val="0"/>
          <w:numId w:val="4"/>
        </w:numPr>
        <w:spacing w:before="120" w:after="0" w:line="280" w:lineRule="exact"/>
        <w:jc w:val="both"/>
        <w:rPr>
          <w:rFonts w:cs="Calibri"/>
          <w:sz w:val="24"/>
          <w:szCs w:val="24"/>
        </w:rPr>
      </w:pPr>
      <w:r w:rsidRPr="00182BB3">
        <w:rPr>
          <w:rStyle w:val="Nessuno"/>
          <w:rFonts w:cs="Calibri"/>
          <w:sz w:val="24"/>
          <w:szCs w:val="24"/>
        </w:rPr>
        <w:t>invio dell’elenco riepilogativo INTRASTAT</w:t>
      </w:r>
    </w:p>
    <w:p w14:paraId="63143DA7" w14:textId="77777777" w:rsidR="0072177D" w:rsidRPr="00182BB3" w:rsidRDefault="00631E99">
      <w:pPr>
        <w:pStyle w:val="Paragrafoelenco"/>
        <w:numPr>
          <w:ilvl w:val="0"/>
          <w:numId w:val="4"/>
        </w:numPr>
        <w:spacing w:before="120" w:after="0" w:line="280" w:lineRule="exact"/>
        <w:jc w:val="both"/>
        <w:rPr>
          <w:rFonts w:cs="Calibri"/>
          <w:sz w:val="24"/>
          <w:szCs w:val="24"/>
        </w:rPr>
      </w:pPr>
      <w:r w:rsidRPr="00182BB3">
        <w:rPr>
          <w:rStyle w:val="Nessuno"/>
          <w:rFonts w:cs="Calibri"/>
          <w:sz w:val="24"/>
          <w:szCs w:val="24"/>
        </w:rPr>
        <w:t>trasmissione telematica dei corrispettivi di cui all’articolo 2 del decreto legislativo 5 agosto 2015, n. 127</w:t>
      </w:r>
    </w:p>
    <w:p w14:paraId="1A8E0E3B" w14:textId="31CA266B" w:rsidR="0072177D" w:rsidRPr="00182BB3" w:rsidRDefault="00631E99">
      <w:pPr>
        <w:pStyle w:val="Paragrafoelenco"/>
        <w:numPr>
          <w:ilvl w:val="0"/>
          <w:numId w:val="4"/>
        </w:numPr>
        <w:spacing w:before="120" w:after="0" w:line="280" w:lineRule="exact"/>
        <w:jc w:val="both"/>
        <w:rPr>
          <w:rFonts w:cs="Calibri"/>
          <w:sz w:val="24"/>
          <w:szCs w:val="24"/>
        </w:rPr>
      </w:pPr>
      <w:r w:rsidRPr="00182BB3">
        <w:rPr>
          <w:rStyle w:val="Nessuno"/>
          <w:rFonts w:cs="Calibri"/>
          <w:sz w:val="24"/>
          <w:szCs w:val="24"/>
        </w:rPr>
        <w:t>trasmissione delle Certificazioni Uniche (cd. CU 2020) contenente i dati fiscali e previdenziali relativi alle certificazioni lavoro dipendente, assimilati e assistenza fiscale e alle certificazioni lavoro autonomo, provvigioni e redditi diversi corrisposti nel 2019</w:t>
      </w:r>
    </w:p>
    <w:p w14:paraId="56C4A9C0" w14:textId="50351A4D" w:rsidR="0072177D" w:rsidRPr="00182BB3" w:rsidRDefault="00631E99">
      <w:pPr>
        <w:pStyle w:val="Paragrafoelenco"/>
        <w:numPr>
          <w:ilvl w:val="0"/>
          <w:numId w:val="4"/>
        </w:numPr>
        <w:spacing w:before="120" w:after="0" w:line="280" w:lineRule="exact"/>
        <w:jc w:val="both"/>
        <w:rPr>
          <w:rFonts w:cs="Calibri"/>
          <w:sz w:val="24"/>
          <w:szCs w:val="24"/>
        </w:rPr>
      </w:pPr>
      <w:r w:rsidRPr="00182BB3">
        <w:rPr>
          <w:rStyle w:val="Nessuno"/>
          <w:rFonts w:cs="Calibri"/>
          <w:sz w:val="24"/>
          <w:szCs w:val="24"/>
        </w:rPr>
        <w:t>comunicazioni all'Anagrafe Tributaria dei dati utili, riferiti all'anno precedente, ai sensi dell'art</w:t>
      </w:r>
      <w:r w:rsidR="001763F8">
        <w:rPr>
          <w:rStyle w:val="Nessuno"/>
          <w:rFonts w:cs="Calibri"/>
          <w:sz w:val="24"/>
          <w:szCs w:val="24"/>
        </w:rPr>
        <w:t xml:space="preserve">icolo </w:t>
      </w:r>
      <w:r w:rsidRPr="00182BB3">
        <w:rPr>
          <w:rStyle w:val="Nessuno"/>
          <w:rFonts w:cs="Calibri"/>
          <w:sz w:val="24"/>
          <w:szCs w:val="24"/>
        </w:rPr>
        <w:t>78, comma 25, della legge n. 413 del 1991;</w:t>
      </w:r>
    </w:p>
    <w:p w14:paraId="51B10D0E" w14:textId="77777777" w:rsidR="0072177D" w:rsidRPr="00182BB3" w:rsidRDefault="00631E99">
      <w:pPr>
        <w:pStyle w:val="Paragrafoelenco"/>
        <w:numPr>
          <w:ilvl w:val="0"/>
          <w:numId w:val="4"/>
        </w:numPr>
        <w:spacing w:before="120" w:after="0" w:line="280" w:lineRule="exact"/>
        <w:jc w:val="both"/>
        <w:rPr>
          <w:rFonts w:cs="Calibri"/>
          <w:sz w:val="24"/>
          <w:szCs w:val="24"/>
        </w:rPr>
      </w:pPr>
      <w:r w:rsidRPr="00182BB3">
        <w:rPr>
          <w:rStyle w:val="Nessuno"/>
          <w:rFonts w:cs="Calibri"/>
          <w:sz w:val="24"/>
          <w:szCs w:val="24"/>
        </w:rPr>
        <w:t xml:space="preserve">notifica delle cartelle di pagamento e per la riscossione delle somme risultanti dagli atti di cui all'articolo </w:t>
      </w:r>
      <w:hyperlink r:id="rId8" w:history="1">
        <w:r w:rsidRPr="00182BB3">
          <w:rPr>
            <w:rStyle w:val="Hyperlink0"/>
            <w:rFonts w:cs="Calibri"/>
            <w:sz w:val="24"/>
            <w:szCs w:val="24"/>
          </w:rPr>
          <w:t>29</w:t>
        </w:r>
      </w:hyperlink>
      <w:r w:rsidRPr="00182BB3">
        <w:rPr>
          <w:rStyle w:val="Hyperlink0"/>
          <w:rFonts w:cs="Calibri"/>
          <w:sz w:val="24"/>
          <w:szCs w:val="24"/>
        </w:rPr>
        <w:t xml:space="preserve"> del </w:t>
      </w:r>
      <w:hyperlink r:id="rId9" w:history="1">
        <w:r w:rsidRPr="00182BB3">
          <w:rPr>
            <w:rStyle w:val="Hyperlink0"/>
            <w:rFonts w:cs="Calibri"/>
            <w:sz w:val="24"/>
            <w:szCs w:val="24"/>
          </w:rPr>
          <w:t>decreto legge 31 maggio 2010, n. 78</w:t>
        </w:r>
      </w:hyperlink>
      <w:r w:rsidRPr="00182BB3">
        <w:rPr>
          <w:rStyle w:val="Hyperlink0"/>
          <w:rFonts w:cs="Calibri"/>
          <w:sz w:val="24"/>
          <w:szCs w:val="24"/>
        </w:rPr>
        <w:t xml:space="preserve">, convertito, con modificazioni, dalla </w:t>
      </w:r>
      <w:hyperlink r:id="rId10" w:history="1">
        <w:r w:rsidRPr="00182BB3">
          <w:rPr>
            <w:rStyle w:val="Hyperlink0"/>
            <w:rFonts w:cs="Calibri"/>
            <w:sz w:val="24"/>
            <w:szCs w:val="24"/>
          </w:rPr>
          <w:t>legge 30 luglio 2010, n. 122</w:t>
        </w:r>
      </w:hyperlink>
      <w:r w:rsidRPr="00182BB3">
        <w:rPr>
          <w:rStyle w:val="Hyperlink0"/>
          <w:rFonts w:cs="Calibri"/>
          <w:sz w:val="24"/>
          <w:szCs w:val="24"/>
        </w:rPr>
        <w:t>, nonché le attività esecutive da parte degli agenti della riscossione e i termini di prescrizione e decadenza relativi all'attività degli uffici finanziari, ivi compresi quelli degli enti locali e delle Regioni</w:t>
      </w:r>
    </w:p>
    <w:p w14:paraId="104EB7EB" w14:textId="77777777" w:rsidR="0072177D" w:rsidRPr="00182BB3" w:rsidRDefault="00631E99">
      <w:pPr>
        <w:pStyle w:val="Paragrafoelenco"/>
        <w:numPr>
          <w:ilvl w:val="0"/>
          <w:numId w:val="4"/>
        </w:numPr>
        <w:spacing w:before="120" w:after="0" w:line="280" w:lineRule="exact"/>
        <w:jc w:val="both"/>
        <w:rPr>
          <w:rFonts w:cs="Calibri"/>
          <w:sz w:val="24"/>
          <w:szCs w:val="24"/>
        </w:rPr>
      </w:pPr>
      <w:r w:rsidRPr="00182BB3">
        <w:rPr>
          <w:rStyle w:val="Hyperlink0"/>
          <w:rFonts w:cs="Calibri"/>
          <w:sz w:val="24"/>
          <w:szCs w:val="24"/>
        </w:rPr>
        <w:t>sanzioni amministrative per le imprese che presentano in ritardo le domande di iscrizione alle camere di commercio, le denunce di cui all'articolo 9 del regolamento di cui al decreto del Presidente della Repubblica 7 dicembre 1995, n. 581, il modello unico di dichiarazione previsto dalla legge 25 gennaio 1994, n. 70, nonché la richiesta di verifica periodica degli strumenti di misura ed il pagamento della relativa tariffa</w:t>
      </w:r>
    </w:p>
    <w:p w14:paraId="36F26014" w14:textId="77777777" w:rsidR="0072177D" w:rsidRPr="00182BB3" w:rsidRDefault="00631E99">
      <w:pPr>
        <w:pStyle w:val="Paragrafoelenco"/>
        <w:numPr>
          <w:ilvl w:val="0"/>
          <w:numId w:val="4"/>
        </w:numPr>
        <w:spacing w:before="120" w:after="0" w:line="280" w:lineRule="exact"/>
        <w:jc w:val="both"/>
        <w:rPr>
          <w:rFonts w:cs="Calibri"/>
          <w:sz w:val="24"/>
          <w:szCs w:val="24"/>
        </w:rPr>
      </w:pPr>
      <w:r w:rsidRPr="00182BB3">
        <w:rPr>
          <w:rStyle w:val="Hyperlink0"/>
          <w:rFonts w:cs="Calibri"/>
          <w:sz w:val="24"/>
          <w:szCs w:val="24"/>
        </w:rPr>
        <w:t>adempimenti e versamenti verso le amministrazioni pubbliche effettuati o a carico di professionisti, consulenti e centri di assistenza fiscale che abbiano sede o operino nei Comuni indicati nell’allegato 1 del citato DPCM, per conto di aziende e clienti non operanti nel territorio, nonché di società di servizi e di persone in cui i soci residenti nei territori colpiti dall’evento epidemiologico rappresentino almeno il cinquanta per cento del capitale sociale</w:t>
      </w:r>
    </w:p>
    <w:p w14:paraId="0B5CB177" w14:textId="77777777" w:rsidR="0072177D" w:rsidRPr="00182BB3" w:rsidRDefault="00631E99">
      <w:pPr>
        <w:pStyle w:val="Paragrafoelenco"/>
        <w:numPr>
          <w:ilvl w:val="0"/>
          <w:numId w:val="4"/>
        </w:numPr>
        <w:spacing w:before="120" w:after="0" w:line="280" w:lineRule="exact"/>
        <w:jc w:val="both"/>
        <w:rPr>
          <w:rFonts w:cs="Calibri"/>
          <w:sz w:val="24"/>
          <w:szCs w:val="24"/>
          <w:shd w:val="clear" w:color="auto" w:fill="FFFFFF"/>
        </w:rPr>
      </w:pPr>
      <w:r w:rsidRPr="00182BB3">
        <w:rPr>
          <w:rStyle w:val="Hyperlink0"/>
          <w:rFonts w:cs="Calibri"/>
          <w:sz w:val="24"/>
          <w:szCs w:val="24"/>
        </w:rPr>
        <w:t xml:space="preserve">termini dei processi civili e amministrativi e di ogni altra giurisdizione speciale pendenti alla data del </w:t>
      </w:r>
      <w:r w:rsidRPr="00182BB3">
        <w:rPr>
          <w:rStyle w:val="Hyperlink0"/>
          <w:rFonts w:cs="Calibri"/>
          <w:sz w:val="24"/>
          <w:szCs w:val="24"/>
          <w:shd w:val="clear" w:color="auto" w:fill="FFFFFF"/>
        </w:rPr>
        <w:t>2</w:t>
      </w:r>
      <w:r w:rsidRPr="005D5489">
        <w:rPr>
          <w:rStyle w:val="Hyperlink0"/>
          <w:rFonts w:cs="Calibri"/>
          <w:sz w:val="24"/>
          <w:szCs w:val="24"/>
          <w:shd w:val="clear" w:color="auto" w:fill="FFFFFF"/>
        </w:rPr>
        <w:t xml:space="preserve">3 </w:t>
      </w:r>
      <w:r w:rsidR="00155DF3" w:rsidRPr="005D5489">
        <w:rPr>
          <w:rStyle w:val="Hyperlink0"/>
          <w:rFonts w:cs="Calibri"/>
          <w:sz w:val="24"/>
          <w:szCs w:val="24"/>
          <w:shd w:val="clear" w:color="auto" w:fill="FFFFFF"/>
        </w:rPr>
        <w:t>f</w:t>
      </w:r>
      <w:r w:rsidRPr="00182BB3">
        <w:rPr>
          <w:rStyle w:val="Hyperlink0"/>
          <w:rFonts w:cs="Calibri"/>
          <w:sz w:val="24"/>
          <w:szCs w:val="24"/>
          <w:shd w:val="clear" w:color="auto" w:fill="FFFFFF"/>
        </w:rPr>
        <w:t>ebbraio 2020</w:t>
      </w:r>
    </w:p>
    <w:p w14:paraId="7E10DFAB" w14:textId="77777777" w:rsidR="0072177D" w:rsidRDefault="0072177D">
      <w:pPr>
        <w:spacing w:before="120" w:after="0" w:line="280" w:lineRule="exact"/>
        <w:jc w:val="both"/>
        <w:rPr>
          <w:rStyle w:val="Hyperlink0"/>
          <w:rFonts w:cs="Calibri"/>
          <w:sz w:val="24"/>
          <w:szCs w:val="24"/>
        </w:rPr>
      </w:pPr>
    </w:p>
    <w:p w14:paraId="6861A139" w14:textId="77777777" w:rsidR="00182BB3" w:rsidRDefault="00182BB3">
      <w:pPr>
        <w:spacing w:before="120" w:after="0" w:line="280" w:lineRule="exact"/>
        <w:jc w:val="both"/>
        <w:rPr>
          <w:rStyle w:val="Hyperlink0"/>
          <w:rFonts w:cs="Calibri"/>
          <w:sz w:val="24"/>
          <w:szCs w:val="24"/>
        </w:rPr>
      </w:pPr>
    </w:p>
    <w:p w14:paraId="4A4E5AF9" w14:textId="77777777" w:rsidR="0072177D" w:rsidRPr="00E46DA8" w:rsidRDefault="00631E99" w:rsidP="00E46DA8">
      <w:pPr>
        <w:pStyle w:val="Paragrafoelenco"/>
        <w:numPr>
          <w:ilvl w:val="0"/>
          <w:numId w:val="5"/>
        </w:numPr>
        <w:spacing w:before="120" w:after="0" w:line="280" w:lineRule="exact"/>
        <w:jc w:val="both"/>
        <w:rPr>
          <w:rFonts w:cs="Calibri"/>
          <w:b/>
          <w:bCs/>
          <w:color w:val="0070C0"/>
          <w:sz w:val="24"/>
          <w:szCs w:val="24"/>
        </w:rPr>
      </w:pPr>
      <w:r w:rsidRPr="00E46DA8">
        <w:rPr>
          <w:rStyle w:val="Nessuno"/>
          <w:rFonts w:cs="Calibri"/>
          <w:b/>
          <w:bCs/>
          <w:color w:val="0070C0"/>
          <w:sz w:val="24"/>
          <w:szCs w:val="24"/>
          <w:u w:val="single" w:color="0070C0"/>
        </w:rPr>
        <w:t>Misure di sostegno al lavoro</w:t>
      </w:r>
    </w:p>
    <w:p w14:paraId="72C1CF8B" w14:textId="146532E4" w:rsidR="00E46DA8" w:rsidRPr="00E46DA8" w:rsidRDefault="00E46DA8" w:rsidP="00E46DA8">
      <w:pPr>
        <w:autoSpaceDE w:val="0"/>
        <w:autoSpaceDN w:val="0"/>
        <w:adjustRightInd w:val="0"/>
        <w:spacing w:before="120" w:after="0" w:line="280" w:lineRule="exact"/>
        <w:jc w:val="both"/>
        <w:rPr>
          <w:rFonts w:cs="Helv"/>
          <w:b/>
          <w:bCs/>
          <w:color w:val="000000" w:themeColor="text1"/>
          <w:sz w:val="24"/>
          <w:szCs w:val="24"/>
        </w:rPr>
      </w:pPr>
      <w:r w:rsidRPr="00E46DA8">
        <w:rPr>
          <w:rFonts w:cs="Helv"/>
          <w:color w:val="000000" w:themeColor="text1"/>
          <w:sz w:val="24"/>
          <w:szCs w:val="24"/>
        </w:rPr>
        <w:t xml:space="preserve">In tema di </w:t>
      </w:r>
      <w:r w:rsidRPr="00E46DA8">
        <w:rPr>
          <w:rFonts w:cs="Helv"/>
          <w:b/>
          <w:bCs/>
          <w:color w:val="000000" w:themeColor="text1"/>
          <w:sz w:val="24"/>
          <w:szCs w:val="24"/>
        </w:rPr>
        <w:t>cassa integrazione</w:t>
      </w:r>
    </w:p>
    <w:p w14:paraId="1043ECBA" w14:textId="64E0B640" w:rsidR="00E46DA8" w:rsidRPr="00E46DA8" w:rsidRDefault="00E46DA8" w:rsidP="00E46DA8">
      <w:pPr>
        <w:pStyle w:val="Paragrafoelenco"/>
        <w:numPr>
          <w:ilvl w:val="0"/>
          <w:numId w:val="31"/>
        </w:numPr>
        <w:spacing w:before="120" w:after="0" w:line="280" w:lineRule="exact"/>
        <w:jc w:val="both"/>
        <w:rPr>
          <w:color w:val="000000" w:themeColor="text1"/>
          <w:sz w:val="24"/>
          <w:szCs w:val="24"/>
        </w:rPr>
      </w:pPr>
      <w:r w:rsidRPr="00E46DA8">
        <w:rPr>
          <w:rStyle w:val="Hyperlink0"/>
          <w:color w:val="000000" w:themeColor="text1"/>
          <w:sz w:val="24"/>
          <w:szCs w:val="24"/>
        </w:rPr>
        <w:t>Riconoscimento dell’ordine dell’Autorità (misure per contenimento dell’epidemia) come evento oggettivamente non evitabile ai fini della individuazione della causale di cassa integrazione e, quindi, con esclusione del versamento del contributo addizionale per tutti i settori (compreso quello edile), del calcolo del periodo richiesto nella durata massima fruibile di ammortizzatori sociali e ai fini della prova della probabilità di ripresa dell’attività lavorativa per la cassa integrazione</w:t>
      </w:r>
    </w:p>
    <w:p w14:paraId="18DD5E56" w14:textId="42800BC8" w:rsidR="00E46DA8" w:rsidRPr="00E46DA8" w:rsidRDefault="00E46DA8" w:rsidP="00E46DA8">
      <w:pPr>
        <w:pStyle w:val="Paragrafoelenco"/>
        <w:numPr>
          <w:ilvl w:val="0"/>
          <w:numId w:val="31"/>
        </w:numPr>
        <w:spacing w:before="120" w:after="0" w:line="280" w:lineRule="exact"/>
        <w:jc w:val="both"/>
        <w:rPr>
          <w:color w:val="000000" w:themeColor="text1"/>
          <w:sz w:val="24"/>
          <w:szCs w:val="24"/>
        </w:rPr>
      </w:pPr>
      <w:r>
        <w:rPr>
          <w:rFonts w:cs="Helv"/>
          <w:color w:val="000000" w:themeColor="text1"/>
          <w:sz w:val="24"/>
          <w:szCs w:val="24"/>
        </w:rPr>
        <w:t>S</w:t>
      </w:r>
      <w:r w:rsidRPr="00E46DA8">
        <w:rPr>
          <w:rFonts w:cs="Helv"/>
          <w:color w:val="000000" w:themeColor="text1"/>
          <w:sz w:val="24"/>
          <w:szCs w:val="24"/>
        </w:rPr>
        <w:t>emplificazione della procedura per il riconoscimento della cassa integrazione (sul modello dell’automatismo del ricorso al lavoro agile)</w:t>
      </w:r>
    </w:p>
    <w:p w14:paraId="7F78B6A5" w14:textId="5982A930" w:rsidR="00E46DA8" w:rsidRPr="00E46DA8" w:rsidRDefault="00E46DA8" w:rsidP="00E46DA8">
      <w:pPr>
        <w:pStyle w:val="Paragrafoelenco"/>
        <w:numPr>
          <w:ilvl w:val="0"/>
          <w:numId w:val="31"/>
        </w:numPr>
        <w:spacing w:before="120" w:after="0" w:line="280" w:lineRule="exact"/>
        <w:jc w:val="both"/>
        <w:rPr>
          <w:rStyle w:val="Hyperlink0"/>
          <w:color w:val="000000" w:themeColor="text1"/>
          <w:sz w:val="24"/>
          <w:szCs w:val="24"/>
        </w:rPr>
      </w:pPr>
      <w:r w:rsidRPr="00E46DA8">
        <w:rPr>
          <w:rStyle w:val="Hyperlink0"/>
          <w:color w:val="000000" w:themeColor="text1"/>
          <w:sz w:val="24"/>
          <w:szCs w:val="24"/>
        </w:rPr>
        <w:t>Riconoscimento della cassa integrazione guadagni in deroga alla vigente normativa, a copertura di tutte le imprese e tutti i lavoratori dipendenti non destinatari degli strumenti di sostegno al reddito a regime e degli strumenti di sostegno al reddito riconosciuti dai Fondi di integrazione salariale</w:t>
      </w:r>
    </w:p>
    <w:p w14:paraId="5503DAFD" w14:textId="73E4FCB9" w:rsidR="00E46DA8" w:rsidRPr="00E46DA8" w:rsidRDefault="00E46DA8" w:rsidP="00E46DA8">
      <w:pPr>
        <w:pStyle w:val="Paragrafoelenco"/>
        <w:numPr>
          <w:ilvl w:val="0"/>
          <w:numId w:val="31"/>
        </w:numPr>
        <w:spacing w:before="120" w:after="0" w:line="280" w:lineRule="exact"/>
        <w:jc w:val="both"/>
        <w:rPr>
          <w:color w:val="000000" w:themeColor="text1"/>
          <w:sz w:val="24"/>
          <w:szCs w:val="24"/>
        </w:rPr>
      </w:pPr>
      <w:r>
        <w:rPr>
          <w:rFonts w:cs="Helv"/>
          <w:color w:val="000000" w:themeColor="text1"/>
          <w:sz w:val="24"/>
          <w:szCs w:val="24"/>
        </w:rPr>
        <w:t xml:space="preserve">Riconoscimento del </w:t>
      </w:r>
      <w:r w:rsidRPr="00E46DA8">
        <w:rPr>
          <w:rFonts w:cs="Helv"/>
          <w:color w:val="000000" w:themeColor="text1"/>
          <w:sz w:val="24"/>
          <w:szCs w:val="24"/>
        </w:rPr>
        <w:t>trattamento di CIG a tutti i lavoratori impossibilitati a raggiungere la sede di lavoro, a causa delle ordinanze che limi</w:t>
      </w:r>
      <w:r>
        <w:rPr>
          <w:rFonts w:cs="Helv"/>
          <w:color w:val="000000" w:themeColor="text1"/>
          <w:sz w:val="24"/>
          <w:szCs w:val="24"/>
        </w:rPr>
        <w:t>tano la mobilità dei lavoratori</w:t>
      </w:r>
    </w:p>
    <w:p w14:paraId="0FF51047" w14:textId="23D0B567" w:rsidR="00E46DA8" w:rsidRPr="00E46DA8" w:rsidRDefault="00E46DA8" w:rsidP="00E46DA8">
      <w:pPr>
        <w:pStyle w:val="Paragrafoelenco"/>
        <w:numPr>
          <w:ilvl w:val="0"/>
          <w:numId w:val="31"/>
        </w:numPr>
        <w:spacing w:before="120" w:after="0" w:line="280" w:lineRule="exact"/>
        <w:jc w:val="both"/>
        <w:rPr>
          <w:color w:val="000000" w:themeColor="text1"/>
          <w:sz w:val="24"/>
          <w:szCs w:val="24"/>
        </w:rPr>
      </w:pPr>
      <w:r>
        <w:rPr>
          <w:rFonts w:cs="Helv"/>
          <w:color w:val="000000" w:themeColor="text1"/>
          <w:sz w:val="24"/>
          <w:szCs w:val="24"/>
        </w:rPr>
        <w:t>N</w:t>
      </w:r>
      <w:r w:rsidRPr="00E46DA8">
        <w:rPr>
          <w:rFonts w:cs="Helv"/>
          <w:color w:val="000000" w:themeColor="text1"/>
          <w:sz w:val="24"/>
          <w:szCs w:val="24"/>
        </w:rPr>
        <w:t xml:space="preserve">ecessità di evitare che </w:t>
      </w:r>
      <w:r>
        <w:rPr>
          <w:rFonts w:cs="Helv"/>
          <w:color w:val="000000" w:themeColor="text1"/>
          <w:sz w:val="24"/>
          <w:szCs w:val="24"/>
        </w:rPr>
        <w:t>i provvedimenti delle Autorità (centrali</w:t>
      </w:r>
      <w:r w:rsidRPr="00E46DA8">
        <w:rPr>
          <w:rFonts w:cs="Helv"/>
          <w:color w:val="000000" w:themeColor="text1"/>
          <w:sz w:val="24"/>
          <w:szCs w:val="24"/>
        </w:rPr>
        <w:t xml:space="preserve"> e </w:t>
      </w:r>
      <w:r>
        <w:rPr>
          <w:rFonts w:cs="Helv"/>
          <w:color w:val="000000" w:themeColor="text1"/>
          <w:sz w:val="24"/>
          <w:szCs w:val="24"/>
        </w:rPr>
        <w:t>territoriali</w:t>
      </w:r>
      <w:r w:rsidRPr="00E46DA8">
        <w:rPr>
          <w:rFonts w:cs="Helv"/>
          <w:color w:val="000000" w:themeColor="text1"/>
          <w:sz w:val="24"/>
          <w:szCs w:val="24"/>
        </w:rPr>
        <w:t>) qualifichino l’assenza dei lavoratori come “malattia” in modo automatico (es. Ordinanza del Sindaco di Piacenza)</w:t>
      </w:r>
    </w:p>
    <w:p w14:paraId="4E36ADEB" w14:textId="3D502B9A" w:rsidR="00E46DA8" w:rsidRPr="00E46DA8" w:rsidRDefault="00E46DA8" w:rsidP="00E46DA8">
      <w:pPr>
        <w:autoSpaceDE w:val="0"/>
        <w:autoSpaceDN w:val="0"/>
        <w:adjustRightInd w:val="0"/>
        <w:spacing w:before="120" w:after="0" w:line="280" w:lineRule="exact"/>
        <w:jc w:val="both"/>
        <w:rPr>
          <w:rFonts w:cs="Helv"/>
          <w:color w:val="000000" w:themeColor="text1"/>
          <w:sz w:val="24"/>
          <w:szCs w:val="24"/>
        </w:rPr>
      </w:pPr>
      <w:r>
        <w:rPr>
          <w:rFonts w:cs="Helv"/>
          <w:color w:val="000000" w:themeColor="text1"/>
          <w:sz w:val="24"/>
          <w:szCs w:val="24"/>
        </w:rPr>
        <w:t>Ulteriori temi rilevanti</w:t>
      </w:r>
    </w:p>
    <w:p w14:paraId="22BAF022" w14:textId="4883878A" w:rsidR="00E46DA8" w:rsidRPr="00E46DA8" w:rsidRDefault="00E46DA8" w:rsidP="00E46DA8">
      <w:pPr>
        <w:pStyle w:val="Paragrafoelenco"/>
        <w:numPr>
          <w:ilvl w:val="0"/>
          <w:numId w:val="31"/>
        </w:numPr>
        <w:autoSpaceDE w:val="0"/>
        <w:autoSpaceDN w:val="0"/>
        <w:adjustRightInd w:val="0"/>
        <w:spacing w:before="120" w:after="0" w:line="280" w:lineRule="exact"/>
        <w:jc w:val="both"/>
        <w:rPr>
          <w:rFonts w:cs="Helv"/>
          <w:color w:val="000000" w:themeColor="text1"/>
          <w:sz w:val="24"/>
          <w:szCs w:val="24"/>
        </w:rPr>
      </w:pPr>
      <w:r w:rsidRPr="00E46DA8">
        <w:rPr>
          <w:rFonts w:cs="Helv"/>
          <w:color w:val="000000" w:themeColor="text1"/>
          <w:sz w:val="24"/>
          <w:szCs w:val="24"/>
        </w:rPr>
        <w:t xml:space="preserve">In tema di </w:t>
      </w:r>
      <w:r w:rsidRPr="00E46DA8">
        <w:rPr>
          <w:rFonts w:cs="Helv"/>
          <w:b/>
          <w:bCs/>
          <w:color w:val="000000" w:themeColor="text1"/>
          <w:sz w:val="24"/>
          <w:szCs w:val="24"/>
        </w:rPr>
        <w:t>adozione delle misure igieniche da parte delle imprese</w:t>
      </w:r>
      <w:r w:rsidRPr="00E46DA8">
        <w:rPr>
          <w:rFonts w:cs="Helv"/>
          <w:color w:val="000000" w:themeColor="text1"/>
          <w:sz w:val="24"/>
          <w:szCs w:val="24"/>
        </w:rPr>
        <w:t xml:space="preserve">, </w:t>
      </w:r>
      <w:r>
        <w:rPr>
          <w:rFonts w:cs="Helv"/>
          <w:color w:val="000000" w:themeColor="text1"/>
          <w:sz w:val="24"/>
          <w:szCs w:val="24"/>
        </w:rPr>
        <w:t>formalizzare</w:t>
      </w:r>
      <w:r w:rsidRPr="00E46DA8">
        <w:rPr>
          <w:rFonts w:cs="Helv"/>
          <w:color w:val="000000" w:themeColor="text1"/>
          <w:sz w:val="24"/>
          <w:szCs w:val="24"/>
        </w:rPr>
        <w:t xml:space="preserve"> che non si tratta di adempimenti collocati all’interno del D.lgs. 81/2008 in materia di salute e sicurezza, </w:t>
      </w:r>
      <w:r>
        <w:rPr>
          <w:rFonts w:cs="Helv"/>
          <w:color w:val="000000" w:themeColor="text1"/>
          <w:sz w:val="24"/>
          <w:szCs w:val="24"/>
        </w:rPr>
        <w:t xml:space="preserve">bensì </w:t>
      </w:r>
      <w:r w:rsidRPr="00E46DA8">
        <w:rPr>
          <w:rFonts w:cs="Helv"/>
          <w:color w:val="000000" w:themeColor="text1"/>
          <w:sz w:val="24"/>
          <w:szCs w:val="24"/>
        </w:rPr>
        <w:t>di iniziative precauzionali</w:t>
      </w:r>
      <w:r>
        <w:rPr>
          <w:rFonts w:cs="Helv"/>
          <w:color w:val="000000" w:themeColor="text1"/>
          <w:sz w:val="24"/>
          <w:szCs w:val="24"/>
        </w:rPr>
        <w:t>,</w:t>
      </w:r>
      <w:r w:rsidRPr="00E46DA8">
        <w:rPr>
          <w:rFonts w:cs="Helv"/>
          <w:color w:val="000000" w:themeColor="text1"/>
          <w:sz w:val="24"/>
          <w:szCs w:val="24"/>
        </w:rPr>
        <w:t xml:space="preserve"> secondo le indicazioni dell’OMS</w:t>
      </w:r>
    </w:p>
    <w:p w14:paraId="789B0112" w14:textId="36230C0F" w:rsidR="00E46DA8" w:rsidRPr="00E46DA8" w:rsidRDefault="00E46DA8" w:rsidP="00E46DA8">
      <w:pPr>
        <w:pStyle w:val="Paragrafoelenco"/>
        <w:numPr>
          <w:ilvl w:val="0"/>
          <w:numId w:val="31"/>
        </w:numPr>
        <w:autoSpaceDE w:val="0"/>
        <w:autoSpaceDN w:val="0"/>
        <w:adjustRightInd w:val="0"/>
        <w:spacing w:before="120" w:after="0" w:line="280" w:lineRule="exact"/>
        <w:jc w:val="both"/>
        <w:rPr>
          <w:rFonts w:cs="Helv"/>
          <w:color w:val="000000" w:themeColor="text1"/>
          <w:sz w:val="24"/>
          <w:szCs w:val="24"/>
        </w:rPr>
      </w:pPr>
      <w:r w:rsidRPr="00E46DA8">
        <w:rPr>
          <w:rFonts w:cs="Helv"/>
          <w:color w:val="000000" w:themeColor="text1"/>
          <w:sz w:val="24"/>
          <w:szCs w:val="24"/>
        </w:rPr>
        <w:t xml:space="preserve">In tema di </w:t>
      </w:r>
      <w:r w:rsidRPr="00E46DA8">
        <w:rPr>
          <w:rFonts w:cs="Helv"/>
          <w:b/>
          <w:bCs/>
          <w:color w:val="000000" w:themeColor="text1"/>
          <w:sz w:val="24"/>
          <w:szCs w:val="24"/>
        </w:rPr>
        <w:t>aeroporti</w:t>
      </w:r>
      <w:r w:rsidRPr="00E46DA8">
        <w:rPr>
          <w:rFonts w:cs="Helv"/>
          <w:color w:val="000000" w:themeColor="text1"/>
          <w:sz w:val="24"/>
          <w:szCs w:val="24"/>
        </w:rPr>
        <w:t>, adottare procedure e tutele specifiche per il personale aeroportuale</w:t>
      </w:r>
    </w:p>
    <w:p w14:paraId="21DCBEAD" w14:textId="67AAB8AC" w:rsidR="00E46DA8" w:rsidRPr="00E46DA8" w:rsidRDefault="00E46DA8" w:rsidP="00E46DA8">
      <w:pPr>
        <w:pStyle w:val="Paragrafoelenco"/>
        <w:numPr>
          <w:ilvl w:val="0"/>
          <w:numId w:val="31"/>
        </w:numPr>
        <w:autoSpaceDE w:val="0"/>
        <w:autoSpaceDN w:val="0"/>
        <w:adjustRightInd w:val="0"/>
        <w:spacing w:before="120" w:after="0" w:line="280" w:lineRule="exact"/>
        <w:jc w:val="both"/>
        <w:rPr>
          <w:rFonts w:cs="Helv"/>
          <w:color w:val="000000" w:themeColor="text1"/>
          <w:sz w:val="24"/>
          <w:szCs w:val="24"/>
        </w:rPr>
      </w:pPr>
      <w:r w:rsidRPr="00E46DA8">
        <w:rPr>
          <w:rFonts w:cs="Helv"/>
          <w:color w:val="000000" w:themeColor="text1"/>
          <w:sz w:val="24"/>
          <w:szCs w:val="24"/>
        </w:rPr>
        <w:t xml:space="preserve">In tema di </w:t>
      </w:r>
      <w:r w:rsidRPr="00E46DA8">
        <w:rPr>
          <w:rFonts w:cs="Helv"/>
          <w:b/>
          <w:bCs/>
          <w:color w:val="000000" w:themeColor="text1"/>
          <w:sz w:val="24"/>
          <w:szCs w:val="24"/>
        </w:rPr>
        <w:t>relazione con i lavoratori,</w:t>
      </w:r>
      <w:r w:rsidRPr="00E46DA8">
        <w:rPr>
          <w:rFonts w:cs="Helv"/>
          <w:color w:val="000000" w:themeColor="text1"/>
          <w:sz w:val="24"/>
          <w:szCs w:val="24"/>
        </w:rPr>
        <w:t xml:space="preserve"> necessità di contemperare il divieto previsto dall’art 5 dello Statuto dei lavoratori in capo al datore di lavoro di effettuare accertamenti sullo stato di salute del lavoratore </w:t>
      </w:r>
      <w:r>
        <w:rPr>
          <w:rFonts w:cs="Helv"/>
          <w:color w:val="000000" w:themeColor="text1"/>
          <w:sz w:val="24"/>
          <w:szCs w:val="24"/>
        </w:rPr>
        <w:t xml:space="preserve">con </w:t>
      </w:r>
      <w:r w:rsidRPr="00E46DA8">
        <w:rPr>
          <w:rFonts w:cs="Helv"/>
          <w:color w:val="000000" w:themeColor="text1"/>
          <w:sz w:val="24"/>
          <w:szCs w:val="24"/>
        </w:rPr>
        <w:t>l’esigenza di accertare</w:t>
      </w:r>
      <w:r>
        <w:rPr>
          <w:rFonts w:cs="Helv"/>
          <w:color w:val="000000" w:themeColor="text1"/>
          <w:sz w:val="24"/>
          <w:szCs w:val="24"/>
        </w:rPr>
        <w:t>,</w:t>
      </w:r>
      <w:r w:rsidRPr="00E46DA8">
        <w:rPr>
          <w:rFonts w:cs="Helv"/>
          <w:color w:val="000000" w:themeColor="text1"/>
          <w:sz w:val="24"/>
          <w:szCs w:val="24"/>
        </w:rPr>
        <w:t xml:space="preserve"> anche sul luogo di lavoro</w:t>
      </w:r>
      <w:r>
        <w:rPr>
          <w:rFonts w:cs="Helv"/>
          <w:color w:val="000000" w:themeColor="text1"/>
          <w:sz w:val="24"/>
          <w:szCs w:val="24"/>
        </w:rPr>
        <w:t>,</w:t>
      </w:r>
      <w:r w:rsidRPr="00E46DA8">
        <w:rPr>
          <w:rFonts w:cs="Helv"/>
          <w:color w:val="000000" w:themeColor="text1"/>
          <w:sz w:val="24"/>
          <w:szCs w:val="24"/>
        </w:rPr>
        <w:t xml:space="preserve"> la presenza di eventuali situazioni a rischio contagio</w:t>
      </w:r>
    </w:p>
    <w:p w14:paraId="2C8BB503" w14:textId="3EEF4280" w:rsidR="00E46DA8" w:rsidRPr="00E46DA8" w:rsidRDefault="00E46DA8" w:rsidP="00E46DA8">
      <w:pPr>
        <w:pStyle w:val="Paragrafoelenco"/>
        <w:numPr>
          <w:ilvl w:val="0"/>
          <w:numId w:val="31"/>
        </w:numPr>
        <w:autoSpaceDE w:val="0"/>
        <w:autoSpaceDN w:val="0"/>
        <w:adjustRightInd w:val="0"/>
        <w:spacing w:before="120" w:after="0" w:line="280" w:lineRule="exact"/>
        <w:jc w:val="both"/>
        <w:rPr>
          <w:rFonts w:cs="Helv"/>
          <w:color w:val="000000" w:themeColor="text1"/>
          <w:sz w:val="24"/>
          <w:szCs w:val="24"/>
        </w:rPr>
      </w:pPr>
      <w:r>
        <w:rPr>
          <w:rFonts w:cs="Helv"/>
          <w:color w:val="000000" w:themeColor="text1"/>
          <w:sz w:val="24"/>
          <w:szCs w:val="24"/>
        </w:rPr>
        <w:t xml:space="preserve">Chiarire </w:t>
      </w:r>
      <w:r w:rsidRPr="00E46DA8">
        <w:rPr>
          <w:rFonts w:cs="Helv"/>
          <w:color w:val="000000" w:themeColor="text1"/>
          <w:sz w:val="24"/>
          <w:szCs w:val="24"/>
        </w:rPr>
        <w:t xml:space="preserve">alcuni </w:t>
      </w:r>
      <w:r w:rsidRPr="00E46DA8">
        <w:rPr>
          <w:rFonts w:cs="Helv"/>
          <w:b/>
          <w:bCs/>
          <w:color w:val="000000" w:themeColor="text1"/>
          <w:sz w:val="24"/>
          <w:szCs w:val="24"/>
        </w:rPr>
        <w:t>dubbi interpretativi</w:t>
      </w:r>
      <w:r w:rsidRPr="00E46DA8">
        <w:rPr>
          <w:rFonts w:cs="Helv"/>
          <w:color w:val="000000" w:themeColor="text1"/>
          <w:sz w:val="24"/>
          <w:szCs w:val="24"/>
        </w:rPr>
        <w:t xml:space="preserve"> relativi alle misure adottate (es. ampiezza e modalità della chiusura degli esercizi commerciali, </w:t>
      </w:r>
      <w:proofErr w:type="spellStart"/>
      <w:r w:rsidRPr="00E46DA8">
        <w:rPr>
          <w:rFonts w:cs="Helv"/>
          <w:i/>
          <w:color w:val="000000" w:themeColor="text1"/>
          <w:sz w:val="24"/>
          <w:szCs w:val="24"/>
        </w:rPr>
        <w:t>smart</w:t>
      </w:r>
      <w:proofErr w:type="spellEnd"/>
      <w:r w:rsidRPr="00E46DA8">
        <w:rPr>
          <w:rFonts w:cs="Helv"/>
          <w:i/>
          <w:color w:val="000000" w:themeColor="text1"/>
          <w:sz w:val="24"/>
          <w:szCs w:val="24"/>
        </w:rPr>
        <w:t xml:space="preserve"> </w:t>
      </w:r>
      <w:proofErr w:type="spellStart"/>
      <w:r w:rsidRPr="00E46DA8">
        <w:rPr>
          <w:rFonts w:cs="Helv"/>
          <w:i/>
          <w:color w:val="000000" w:themeColor="text1"/>
          <w:sz w:val="24"/>
          <w:szCs w:val="24"/>
        </w:rPr>
        <w:t>working</w:t>
      </w:r>
      <w:proofErr w:type="spellEnd"/>
      <w:r w:rsidRPr="00E46DA8">
        <w:rPr>
          <w:rFonts w:cs="Helv"/>
          <w:color w:val="000000" w:themeColor="text1"/>
          <w:sz w:val="24"/>
          <w:szCs w:val="24"/>
        </w:rPr>
        <w:t>, comportamento dei lavoratori nell’ambito dei servizi collegati a quelli essenziali - es TLC</w:t>
      </w:r>
      <w:r>
        <w:rPr>
          <w:rFonts w:cs="Helv"/>
          <w:color w:val="000000" w:themeColor="text1"/>
          <w:sz w:val="24"/>
          <w:szCs w:val="24"/>
        </w:rPr>
        <w:t>)</w:t>
      </w:r>
      <w:r w:rsidRPr="00E46DA8">
        <w:rPr>
          <w:rFonts w:cs="Helv"/>
          <w:color w:val="000000" w:themeColor="text1"/>
          <w:sz w:val="24"/>
          <w:szCs w:val="24"/>
        </w:rPr>
        <w:t xml:space="preserve">. In particolare, </w:t>
      </w:r>
      <w:r>
        <w:rPr>
          <w:rFonts w:cs="Helv"/>
          <w:color w:val="000000" w:themeColor="text1"/>
          <w:sz w:val="24"/>
          <w:szCs w:val="24"/>
        </w:rPr>
        <w:t xml:space="preserve">prevedere </w:t>
      </w:r>
      <w:r w:rsidRPr="00E46DA8">
        <w:rPr>
          <w:rFonts w:cs="Helv"/>
          <w:color w:val="000000" w:themeColor="text1"/>
          <w:sz w:val="24"/>
          <w:szCs w:val="24"/>
        </w:rPr>
        <w:t xml:space="preserve">che la comunicazione di avvio dello </w:t>
      </w:r>
      <w:proofErr w:type="spellStart"/>
      <w:r w:rsidRPr="00E46DA8">
        <w:rPr>
          <w:rFonts w:cs="Helv"/>
          <w:i/>
          <w:color w:val="000000" w:themeColor="text1"/>
          <w:sz w:val="24"/>
          <w:szCs w:val="24"/>
        </w:rPr>
        <w:t>smart</w:t>
      </w:r>
      <w:proofErr w:type="spellEnd"/>
      <w:r w:rsidRPr="00E46DA8">
        <w:rPr>
          <w:rFonts w:cs="Helv"/>
          <w:i/>
          <w:color w:val="000000" w:themeColor="text1"/>
          <w:sz w:val="24"/>
          <w:szCs w:val="24"/>
        </w:rPr>
        <w:t xml:space="preserve"> </w:t>
      </w:r>
      <w:proofErr w:type="spellStart"/>
      <w:r w:rsidRPr="00E46DA8">
        <w:rPr>
          <w:rFonts w:cs="Helv"/>
          <w:i/>
          <w:color w:val="000000" w:themeColor="text1"/>
          <w:sz w:val="24"/>
          <w:szCs w:val="24"/>
        </w:rPr>
        <w:t>working</w:t>
      </w:r>
      <w:proofErr w:type="spellEnd"/>
      <w:r w:rsidRPr="00E46DA8">
        <w:rPr>
          <w:rFonts w:cs="Helv"/>
          <w:color w:val="000000" w:themeColor="text1"/>
          <w:sz w:val="24"/>
          <w:szCs w:val="24"/>
        </w:rPr>
        <w:t xml:space="preserve"> nelle zone interessate dal DPCM possa essere effettuata entro 20 giorni dall’avvio della prestazione in modalità </w:t>
      </w:r>
      <w:proofErr w:type="spellStart"/>
      <w:r w:rsidRPr="00E46DA8">
        <w:rPr>
          <w:rFonts w:cs="Helv"/>
          <w:i/>
          <w:color w:val="000000" w:themeColor="text1"/>
          <w:sz w:val="24"/>
          <w:szCs w:val="24"/>
        </w:rPr>
        <w:t>smart</w:t>
      </w:r>
      <w:proofErr w:type="spellEnd"/>
      <w:r w:rsidRPr="00E46DA8">
        <w:rPr>
          <w:rFonts w:cs="Helv"/>
          <w:i/>
          <w:color w:val="000000" w:themeColor="text1"/>
          <w:sz w:val="24"/>
          <w:szCs w:val="24"/>
        </w:rPr>
        <w:t xml:space="preserve"> </w:t>
      </w:r>
      <w:proofErr w:type="spellStart"/>
      <w:r w:rsidRPr="00E46DA8">
        <w:rPr>
          <w:rFonts w:cs="Helv"/>
          <w:i/>
          <w:color w:val="000000" w:themeColor="text1"/>
          <w:sz w:val="24"/>
          <w:szCs w:val="24"/>
        </w:rPr>
        <w:t>working</w:t>
      </w:r>
      <w:bookmarkStart w:id="0" w:name="_GoBack"/>
      <w:bookmarkEnd w:id="0"/>
      <w:proofErr w:type="spellEnd"/>
    </w:p>
    <w:p w14:paraId="45370686" w14:textId="77777777" w:rsidR="0072177D" w:rsidRPr="00E46DA8" w:rsidRDefault="0072177D" w:rsidP="00E46DA8">
      <w:pPr>
        <w:spacing w:before="120" w:after="0" w:line="280" w:lineRule="exact"/>
        <w:jc w:val="both"/>
        <w:rPr>
          <w:rStyle w:val="Nessuno"/>
          <w:rFonts w:eastAsia="Helvetica" w:cs="Calibri"/>
          <w:b/>
          <w:bCs/>
          <w:color w:val="000000" w:themeColor="text1"/>
          <w:sz w:val="24"/>
          <w:szCs w:val="24"/>
          <w:u w:val="single" w:color="0070C0"/>
        </w:rPr>
      </w:pPr>
    </w:p>
    <w:p w14:paraId="6B020E35" w14:textId="77777777" w:rsidR="0072177D" w:rsidRPr="00182BB3" w:rsidRDefault="00631E99" w:rsidP="00832CDA">
      <w:pPr>
        <w:pStyle w:val="Paragrafoelenco"/>
        <w:numPr>
          <w:ilvl w:val="0"/>
          <w:numId w:val="6"/>
        </w:numPr>
        <w:spacing w:before="120" w:after="0" w:line="280" w:lineRule="exact"/>
        <w:jc w:val="both"/>
        <w:rPr>
          <w:rFonts w:cs="Calibri"/>
          <w:b/>
          <w:bCs/>
          <w:color w:val="0070C0"/>
          <w:sz w:val="24"/>
          <w:szCs w:val="24"/>
        </w:rPr>
      </w:pPr>
      <w:r w:rsidRPr="00182BB3">
        <w:rPr>
          <w:rStyle w:val="Nessuno"/>
          <w:rFonts w:cs="Calibri"/>
          <w:b/>
          <w:bCs/>
          <w:color w:val="0070C0"/>
          <w:sz w:val="24"/>
          <w:szCs w:val="24"/>
          <w:u w:val="single" w:color="0070C0"/>
        </w:rPr>
        <w:t>Misure di natura finanziaria</w:t>
      </w:r>
    </w:p>
    <w:p w14:paraId="07AFE8A7" w14:textId="2103E1B8" w:rsidR="00832CDA" w:rsidRPr="00832CDA" w:rsidRDefault="00631E99" w:rsidP="00832CDA">
      <w:pPr>
        <w:pStyle w:val="Paragrafoelenco"/>
        <w:numPr>
          <w:ilvl w:val="0"/>
          <w:numId w:val="10"/>
        </w:numPr>
        <w:spacing w:before="120" w:after="0" w:line="280" w:lineRule="exact"/>
        <w:jc w:val="both"/>
        <w:rPr>
          <w:rFonts w:cs="Calibri"/>
          <w:b/>
          <w:bCs/>
          <w:color w:val="0070C0"/>
          <w:sz w:val="24"/>
          <w:szCs w:val="24"/>
        </w:rPr>
      </w:pPr>
      <w:r w:rsidRPr="00182BB3">
        <w:rPr>
          <w:rStyle w:val="Nessuno"/>
          <w:rFonts w:cs="Calibri"/>
          <w:b/>
          <w:bCs/>
          <w:color w:val="0070C0"/>
          <w:sz w:val="24"/>
          <w:szCs w:val="24"/>
          <w:u w:color="0070C0"/>
        </w:rPr>
        <w:t>Misure per gli operatori operanti nelle zone sottoposte a restrizioni dell’esercizio dell’attività economica</w:t>
      </w:r>
    </w:p>
    <w:p w14:paraId="2B0BABD5" w14:textId="77777777" w:rsidR="00832CDA" w:rsidRPr="00832CDA" w:rsidRDefault="00832CDA" w:rsidP="00832CDA">
      <w:pPr>
        <w:pStyle w:val="Paragrafoelenco"/>
        <w:numPr>
          <w:ilvl w:val="0"/>
          <w:numId w:val="27"/>
        </w:numPr>
        <w:spacing w:before="120" w:after="0" w:line="280" w:lineRule="exact"/>
        <w:jc w:val="both"/>
        <w:rPr>
          <w:rFonts w:cs="Calibri"/>
          <w:sz w:val="24"/>
          <w:szCs w:val="24"/>
        </w:rPr>
      </w:pPr>
      <w:r w:rsidRPr="00832CDA">
        <w:rPr>
          <w:rFonts w:cs="Calibri"/>
          <w:sz w:val="24"/>
          <w:szCs w:val="24"/>
        </w:rPr>
        <w:t>Attivazione moratoria dei mutui in base al Protocollo ABI-Protezione Civile sulle calamità naturali</w:t>
      </w:r>
    </w:p>
    <w:p w14:paraId="79CBE749" w14:textId="77777777" w:rsidR="00832CDA" w:rsidRPr="00832CDA" w:rsidRDefault="00832CDA" w:rsidP="00832CDA">
      <w:pPr>
        <w:pStyle w:val="Paragrafoelenco"/>
        <w:numPr>
          <w:ilvl w:val="0"/>
          <w:numId w:val="9"/>
        </w:numPr>
        <w:jc w:val="both"/>
        <w:rPr>
          <w:rFonts w:cs="Calibri"/>
          <w:sz w:val="24"/>
          <w:szCs w:val="24"/>
        </w:rPr>
      </w:pPr>
      <w:r w:rsidRPr="00832CDA">
        <w:rPr>
          <w:rFonts w:cs="Calibri"/>
          <w:sz w:val="24"/>
          <w:szCs w:val="24"/>
        </w:rPr>
        <w:t xml:space="preserve">Copertura della quota interessi delle rate sospese (da valutare la possibilità di utilizzare risorse regionali) </w:t>
      </w:r>
    </w:p>
    <w:p w14:paraId="1E74E4B7" w14:textId="77777777" w:rsidR="00832CDA" w:rsidRPr="00832CDA" w:rsidRDefault="00832CDA" w:rsidP="00832CDA">
      <w:pPr>
        <w:pStyle w:val="Paragrafoelenco"/>
        <w:numPr>
          <w:ilvl w:val="0"/>
          <w:numId w:val="9"/>
        </w:numPr>
        <w:jc w:val="both"/>
        <w:rPr>
          <w:rFonts w:cs="Calibri"/>
          <w:sz w:val="24"/>
          <w:szCs w:val="24"/>
        </w:rPr>
      </w:pPr>
      <w:r w:rsidRPr="00832CDA">
        <w:rPr>
          <w:rFonts w:cs="Calibri"/>
          <w:sz w:val="24"/>
          <w:szCs w:val="24"/>
        </w:rPr>
        <w:lastRenderedPageBreak/>
        <w:t xml:space="preserve">Accesso al Fondo di Garanzia per le PMI senza valutazione, con copertura all’80% e gratis, anche attraverso sezioni regionali del Fondo </w:t>
      </w:r>
    </w:p>
    <w:p w14:paraId="05770A70" w14:textId="77777777" w:rsidR="00832CDA" w:rsidRPr="00832CDA" w:rsidRDefault="00832CDA" w:rsidP="00832CDA">
      <w:pPr>
        <w:pStyle w:val="Paragrafoelenco"/>
        <w:numPr>
          <w:ilvl w:val="0"/>
          <w:numId w:val="9"/>
        </w:numPr>
        <w:jc w:val="both"/>
        <w:rPr>
          <w:rFonts w:cs="Calibri"/>
          <w:sz w:val="24"/>
          <w:szCs w:val="24"/>
        </w:rPr>
      </w:pPr>
      <w:r w:rsidRPr="00832CDA">
        <w:rPr>
          <w:rFonts w:cs="Calibri"/>
          <w:sz w:val="24"/>
          <w:szCs w:val="24"/>
        </w:rPr>
        <w:t xml:space="preserve">Conferma della copertura del Fondo di garanzia per le PMI sulle operazioni sospese o allungate </w:t>
      </w:r>
    </w:p>
    <w:p w14:paraId="42D828E1" w14:textId="77777777" w:rsidR="00832CDA" w:rsidRPr="00832CDA" w:rsidRDefault="00832CDA" w:rsidP="00832CDA">
      <w:pPr>
        <w:pStyle w:val="Paragrafoelenco"/>
        <w:numPr>
          <w:ilvl w:val="0"/>
          <w:numId w:val="22"/>
        </w:numPr>
        <w:jc w:val="both"/>
        <w:rPr>
          <w:rFonts w:cs="Calibri"/>
          <w:sz w:val="24"/>
          <w:szCs w:val="24"/>
        </w:rPr>
      </w:pPr>
      <w:r w:rsidRPr="00832CDA">
        <w:rPr>
          <w:rFonts w:cs="Calibri"/>
          <w:sz w:val="24"/>
          <w:szCs w:val="24"/>
        </w:rPr>
        <w:t>Plafond CDP di provvista alle banche per il finanziamento delle PMI</w:t>
      </w:r>
    </w:p>
    <w:p w14:paraId="2EB56EC0" w14:textId="77777777" w:rsidR="0072177D" w:rsidRPr="004D43C9" w:rsidRDefault="0072177D" w:rsidP="00832CDA">
      <w:pPr>
        <w:pStyle w:val="Paragrafoelenco"/>
        <w:spacing w:before="120" w:after="0" w:line="280" w:lineRule="exact"/>
        <w:ind w:left="714"/>
        <w:jc w:val="both"/>
        <w:rPr>
          <w:rStyle w:val="Hyperlink0"/>
          <w:rFonts w:cs="Calibri"/>
          <w:sz w:val="24"/>
          <w:szCs w:val="24"/>
        </w:rPr>
      </w:pPr>
    </w:p>
    <w:p w14:paraId="01668BBD" w14:textId="77777777" w:rsidR="0072177D" w:rsidRPr="00182BB3" w:rsidRDefault="00631E99" w:rsidP="00832CDA">
      <w:pPr>
        <w:pStyle w:val="Paragrafoelenco"/>
        <w:numPr>
          <w:ilvl w:val="0"/>
          <w:numId w:val="10"/>
        </w:numPr>
        <w:spacing w:before="120" w:after="0" w:line="280" w:lineRule="exact"/>
        <w:jc w:val="both"/>
        <w:rPr>
          <w:rFonts w:cs="Calibri"/>
          <w:b/>
          <w:bCs/>
          <w:color w:val="0070C0"/>
          <w:sz w:val="24"/>
          <w:szCs w:val="24"/>
        </w:rPr>
      </w:pPr>
      <w:r w:rsidRPr="00182BB3">
        <w:rPr>
          <w:rStyle w:val="Nessuno"/>
          <w:rFonts w:cs="Calibri"/>
          <w:b/>
          <w:bCs/>
          <w:color w:val="0070C0"/>
          <w:sz w:val="24"/>
          <w:szCs w:val="24"/>
          <w:u w:color="0070C0"/>
        </w:rPr>
        <w:t>Misure per il sostegno dei settori e delle filiere a vario titolo interessati e danneggiati, direttamente o indirettamente, dall’emergenza</w:t>
      </w:r>
    </w:p>
    <w:p w14:paraId="05E93E5F" w14:textId="77777777" w:rsidR="00832CDA" w:rsidRPr="00832CDA" w:rsidRDefault="00832CDA" w:rsidP="00832CDA">
      <w:pPr>
        <w:numPr>
          <w:ilvl w:val="0"/>
          <w:numId w:val="11"/>
        </w:numPr>
        <w:spacing w:before="120" w:after="0" w:line="280" w:lineRule="exact"/>
        <w:jc w:val="both"/>
        <w:rPr>
          <w:rFonts w:cs="Calibri"/>
          <w:sz w:val="24"/>
          <w:szCs w:val="24"/>
        </w:rPr>
      </w:pPr>
      <w:r w:rsidRPr="00832CDA">
        <w:rPr>
          <w:rFonts w:cs="Calibri"/>
          <w:sz w:val="24"/>
          <w:szCs w:val="24"/>
        </w:rPr>
        <w:t xml:space="preserve">Accordo con ABI per la sospensione e l’allungamento dei mutui in essere alla data dell’Accordo stesso </w:t>
      </w:r>
    </w:p>
    <w:p w14:paraId="600A7037" w14:textId="77777777" w:rsidR="00832CDA" w:rsidRPr="00832CDA" w:rsidRDefault="00832CDA" w:rsidP="00832CDA">
      <w:pPr>
        <w:numPr>
          <w:ilvl w:val="0"/>
          <w:numId w:val="11"/>
        </w:numPr>
        <w:spacing w:before="120" w:after="0" w:line="280" w:lineRule="exact"/>
        <w:jc w:val="both"/>
        <w:rPr>
          <w:rFonts w:cs="Calibri"/>
          <w:sz w:val="24"/>
          <w:szCs w:val="24"/>
        </w:rPr>
      </w:pPr>
      <w:r w:rsidRPr="00832CDA">
        <w:rPr>
          <w:rFonts w:cs="Calibri"/>
          <w:sz w:val="24"/>
          <w:szCs w:val="24"/>
        </w:rPr>
        <w:t>Accesso al Fondo di Garanzia per le PMI per le imprese colpite senza valutazione, con copertura all’80% e gratis. Possibile anche attraverso sezioni regionali del Fondo</w:t>
      </w:r>
    </w:p>
    <w:p w14:paraId="0B7FE68B" w14:textId="77777777" w:rsidR="00832CDA" w:rsidRPr="00832CDA" w:rsidRDefault="00832CDA" w:rsidP="00832CDA">
      <w:pPr>
        <w:numPr>
          <w:ilvl w:val="0"/>
          <w:numId w:val="11"/>
        </w:numPr>
        <w:spacing w:before="120" w:after="0" w:line="280" w:lineRule="exact"/>
        <w:jc w:val="both"/>
        <w:rPr>
          <w:rFonts w:cs="Calibri"/>
          <w:sz w:val="24"/>
          <w:szCs w:val="24"/>
        </w:rPr>
      </w:pPr>
      <w:r w:rsidRPr="00832CDA">
        <w:rPr>
          <w:rFonts w:cs="Calibri"/>
          <w:sz w:val="24"/>
          <w:szCs w:val="24"/>
        </w:rPr>
        <w:t>Per facilitare l’utilizzo del Fondo di Garanzia a copertura delle esigenze delle imprese colpite serve inoltre:</w:t>
      </w:r>
    </w:p>
    <w:p w14:paraId="44BC1FF0" w14:textId="2CA9BDDC" w:rsidR="00832CDA" w:rsidRPr="00832CDA" w:rsidRDefault="00832CDA" w:rsidP="00832CDA">
      <w:pPr>
        <w:numPr>
          <w:ilvl w:val="0"/>
          <w:numId w:val="21"/>
        </w:numPr>
        <w:spacing w:before="120" w:after="0" w:line="280" w:lineRule="exact"/>
        <w:jc w:val="both"/>
        <w:rPr>
          <w:rFonts w:cs="Calibri"/>
          <w:sz w:val="24"/>
          <w:szCs w:val="24"/>
        </w:rPr>
      </w:pPr>
      <w:r w:rsidRPr="00832CDA">
        <w:rPr>
          <w:rFonts w:cs="Calibri"/>
          <w:sz w:val="24"/>
          <w:szCs w:val="24"/>
        </w:rPr>
        <w:t xml:space="preserve">Rapida attivazione della sezione speciale </w:t>
      </w:r>
      <w:proofErr w:type="spellStart"/>
      <w:r w:rsidRPr="00832CDA">
        <w:rPr>
          <w:rFonts w:cs="Calibri"/>
          <w:sz w:val="24"/>
          <w:szCs w:val="24"/>
        </w:rPr>
        <w:t>mid-cap</w:t>
      </w:r>
      <w:proofErr w:type="spellEnd"/>
      <w:r w:rsidRPr="00832CDA">
        <w:rPr>
          <w:rFonts w:cs="Calibri"/>
          <w:sz w:val="24"/>
          <w:szCs w:val="24"/>
        </w:rPr>
        <w:t xml:space="preserve"> introdotta dal DL Crescita. Contestualmente la sezione va modificata, prevedendo che per la stessa siano previste le stesse commissioni previste in via generale per l’operatività del Fondo (gratis per le imprese colpite dal coronavirus) e riducendo da 10 a 5 anni il limite minimo della durata dei finanziamenti garantiti</w:t>
      </w:r>
    </w:p>
    <w:p w14:paraId="002211EF" w14:textId="77777777" w:rsidR="00832CDA" w:rsidRPr="00832CDA" w:rsidRDefault="00832CDA" w:rsidP="00832CDA">
      <w:pPr>
        <w:numPr>
          <w:ilvl w:val="0"/>
          <w:numId w:val="21"/>
        </w:numPr>
        <w:spacing w:before="120" w:after="0" w:line="280" w:lineRule="exact"/>
        <w:jc w:val="both"/>
        <w:rPr>
          <w:rFonts w:cs="Calibri"/>
          <w:sz w:val="24"/>
          <w:szCs w:val="24"/>
        </w:rPr>
      </w:pPr>
      <w:r w:rsidRPr="00832CDA">
        <w:rPr>
          <w:rFonts w:cs="Calibri"/>
          <w:sz w:val="24"/>
          <w:szCs w:val="24"/>
        </w:rPr>
        <w:t xml:space="preserve">Innalzamento – al di fuori dell’operatività della sezione speciale </w:t>
      </w:r>
      <w:proofErr w:type="spellStart"/>
      <w:r w:rsidRPr="00832CDA">
        <w:rPr>
          <w:rFonts w:cs="Calibri"/>
          <w:sz w:val="24"/>
          <w:szCs w:val="24"/>
        </w:rPr>
        <w:t>mid-cap</w:t>
      </w:r>
      <w:proofErr w:type="spellEnd"/>
      <w:r w:rsidRPr="00832CDA">
        <w:rPr>
          <w:rFonts w:cs="Calibri"/>
          <w:sz w:val="24"/>
          <w:szCs w:val="24"/>
        </w:rPr>
        <w:t xml:space="preserve"> – dell’importo massimo garantito dal Fondo a 3,5 milioni per tutte le operazioni e non solo a quelle di portafoglio</w:t>
      </w:r>
    </w:p>
    <w:p w14:paraId="3616A5D6" w14:textId="77777777" w:rsidR="00832CDA" w:rsidRPr="00832CDA" w:rsidRDefault="00832CDA" w:rsidP="00832CDA">
      <w:pPr>
        <w:numPr>
          <w:ilvl w:val="0"/>
          <w:numId w:val="21"/>
        </w:numPr>
        <w:spacing w:before="120" w:after="0" w:line="280" w:lineRule="exact"/>
        <w:jc w:val="both"/>
        <w:rPr>
          <w:rFonts w:cs="Calibri"/>
          <w:sz w:val="24"/>
          <w:szCs w:val="24"/>
        </w:rPr>
      </w:pPr>
      <w:r w:rsidRPr="00832CDA">
        <w:rPr>
          <w:rFonts w:cs="Calibri"/>
          <w:sz w:val="24"/>
          <w:szCs w:val="24"/>
        </w:rPr>
        <w:t>Eliminazione della commissione di mancato perfezionamento delle operazioni (300 euro) che rallenta la presentazione delle domande</w:t>
      </w:r>
    </w:p>
    <w:p w14:paraId="1DE4DC6F" w14:textId="12D26C42" w:rsidR="00832CDA" w:rsidRDefault="00832CDA" w:rsidP="00832CDA">
      <w:pPr>
        <w:numPr>
          <w:ilvl w:val="0"/>
          <w:numId w:val="21"/>
        </w:numPr>
        <w:spacing w:before="120" w:after="0" w:line="280" w:lineRule="exact"/>
        <w:jc w:val="both"/>
        <w:rPr>
          <w:rFonts w:cs="Calibri"/>
          <w:sz w:val="24"/>
          <w:szCs w:val="24"/>
        </w:rPr>
      </w:pPr>
      <w:r w:rsidRPr="00832CDA">
        <w:rPr>
          <w:rFonts w:cs="Calibri"/>
          <w:sz w:val="24"/>
          <w:szCs w:val="24"/>
        </w:rPr>
        <w:t xml:space="preserve">Conferma della copertura del Fondo di garanzia per le PMI sulle operazioni sospese o allungate </w:t>
      </w:r>
    </w:p>
    <w:p w14:paraId="7A8758E1" w14:textId="77777777" w:rsidR="00583282" w:rsidRPr="00832CDA" w:rsidRDefault="00583282" w:rsidP="00583282">
      <w:pPr>
        <w:numPr>
          <w:ilvl w:val="0"/>
          <w:numId w:val="23"/>
        </w:numPr>
        <w:spacing w:before="120" w:after="0" w:line="280" w:lineRule="exact"/>
        <w:jc w:val="both"/>
        <w:rPr>
          <w:rFonts w:cs="Calibri"/>
          <w:sz w:val="24"/>
          <w:szCs w:val="24"/>
        </w:rPr>
      </w:pPr>
      <w:r w:rsidRPr="00583282">
        <w:rPr>
          <w:rFonts w:cs="Calibri"/>
          <w:sz w:val="24"/>
          <w:szCs w:val="24"/>
        </w:rPr>
        <w:t>Potenziamento della Nuova Sabatini per le imprese</w:t>
      </w:r>
      <w:r>
        <w:rPr>
          <w:rFonts w:cs="Calibri"/>
          <w:sz w:val="24"/>
          <w:szCs w:val="24"/>
        </w:rPr>
        <w:t xml:space="preserve"> colpite</w:t>
      </w:r>
    </w:p>
    <w:p w14:paraId="6FE96071" w14:textId="4AC412AD" w:rsidR="00832CDA" w:rsidRDefault="00832CDA" w:rsidP="00832CDA">
      <w:pPr>
        <w:numPr>
          <w:ilvl w:val="0"/>
          <w:numId w:val="23"/>
        </w:numPr>
        <w:spacing w:before="120" w:after="0" w:line="280" w:lineRule="exact"/>
        <w:jc w:val="both"/>
        <w:rPr>
          <w:rFonts w:cs="Calibri"/>
          <w:sz w:val="24"/>
          <w:szCs w:val="24"/>
        </w:rPr>
      </w:pPr>
      <w:r w:rsidRPr="00832CDA">
        <w:rPr>
          <w:rFonts w:cs="Calibri"/>
          <w:sz w:val="24"/>
          <w:szCs w:val="24"/>
        </w:rPr>
        <w:t>Plafond CDP di provvista alle banche per il finanziamento delle PMI</w:t>
      </w:r>
    </w:p>
    <w:p w14:paraId="11306410" w14:textId="77777777" w:rsidR="0072177D" w:rsidRPr="00182BB3" w:rsidRDefault="0072177D">
      <w:pPr>
        <w:spacing w:before="120" w:after="0" w:line="280" w:lineRule="exact"/>
        <w:jc w:val="both"/>
        <w:rPr>
          <w:rStyle w:val="Hyperlink0"/>
          <w:rFonts w:cs="Calibri"/>
          <w:sz w:val="24"/>
          <w:szCs w:val="24"/>
        </w:rPr>
      </w:pPr>
    </w:p>
    <w:p w14:paraId="087B61C1" w14:textId="77777777" w:rsidR="0072177D" w:rsidRPr="00182BB3" w:rsidRDefault="00631E99">
      <w:pPr>
        <w:pStyle w:val="Paragrafoelenco"/>
        <w:numPr>
          <w:ilvl w:val="0"/>
          <w:numId w:val="14"/>
        </w:numPr>
        <w:spacing w:before="120" w:after="0" w:line="280" w:lineRule="exact"/>
        <w:jc w:val="both"/>
        <w:rPr>
          <w:rFonts w:cs="Calibri"/>
          <w:b/>
          <w:bCs/>
          <w:color w:val="0070C0"/>
          <w:sz w:val="24"/>
          <w:szCs w:val="24"/>
        </w:rPr>
      </w:pPr>
      <w:r w:rsidRPr="00182BB3">
        <w:rPr>
          <w:rStyle w:val="Nessuno"/>
          <w:rFonts w:cs="Calibri"/>
          <w:b/>
          <w:bCs/>
          <w:color w:val="0070C0"/>
          <w:sz w:val="24"/>
          <w:szCs w:val="24"/>
          <w:u w:val="single" w:color="0070C0"/>
        </w:rPr>
        <w:t>Esenzioni</w:t>
      </w:r>
    </w:p>
    <w:p w14:paraId="0061D57A" w14:textId="77777777" w:rsidR="0072177D" w:rsidRPr="00182BB3" w:rsidRDefault="00631E99">
      <w:pPr>
        <w:spacing w:before="120" w:after="0" w:line="280" w:lineRule="exact"/>
        <w:jc w:val="both"/>
        <w:rPr>
          <w:rStyle w:val="Nessuno"/>
          <w:rFonts w:eastAsia="Helvetica" w:cs="Calibri"/>
          <w:b/>
          <w:bCs/>
          <w:color w:val="0070C0"/>
          <w:sz w:val="24"/>
          <w:szCs w:val="24"/>
          <w:u w:val="single" w:color="0070C0"/>
        </w:rPr>
      </w:pPr>
      <w:r w:rsidRPr="00182BB3">
        <w:rPr>
          <w:rStyle w:val="Nessuno"/>
          <w:rFonts w:cs="Calibri"/>
          <w:sz w:val="24"/>
          <w:szCs w:val="24"/>
        </w:rPr>
        <w:t xml:space="preserve">Per sostenere imprese e lavoratori, sarebbe opportuno prevedere delle esenzioni; in particolare:  </w:t>
      </w:r>
    </w:p>
    <w:p w14:paraId="44474AD0" w14:textId="77777777" w:rsidR="0072177D" w:rsidRPr="00182BB3" w:rsidRDefault="00631E99">
      <w:pPr>
        <w:pStyle w:val="Paragrafoelenco"/>
        <w:numPr>
          <w:ilvl w:val="0"/>
          <w:numId w:val="16"/>
        </w:numPr>
        <w:spacing w:before="120" w:after="0" w:line="280" w:lineRule="exact"/>
        <w:jc w:val="both"/>
        <w:rPr>
          <w:rFonts w:cs="Calibri"/>
          <w:sz w:val="24"/>
          <w:szCs w:val="24"/>
        </w:rPr>
      </w:pPr>
      <w:r w:rsidRPr="00182BB3">
        <w:rPr>
          <w:rStyle w:val="Nessuno"/>
          <w:rFonts w:cs="Calibri"/>
          <w:b/>
          <w:bCs/>
          <w:sz w:val="24"/>
          <w:szCs w:val="24"/>
        </w:rPr>
        <w:t>Tassazione sussidi, erogazioni, aiuti ai dipendenti</w:t>
      </w:r>
      <w:r w:rsidRPr="00182BB3">
        <w:rPr>
          <w:rStyle w:val="Hyperlink0"/>
          <w:rFonts w:cs="Calibri"/>
          <w:sz w:val="24"/>
          <w:szCs w:val="24"/>
        </w:rPr>
        <w:t>: fino al termine del periodo di sospensione, deve essere disposta la non concorrenza alla formazione del reddito di lavoro dipendente</w:t>
      </w:r>
      <w:r w:rsidR="00182BB3">
        <w:rPr>
          <w:rStyle w:val="Hyperlink0"/>
          <w:rFonts w:cs="Calibri"/>
          <w:sz w:val="24"/>
          <w:szCs w:val="24"/>
        </w:rPr>
        <w:t xml:space="preserve">, </w:t>
      </w:r>
      <w:r w:rsidRPr="00182BB3">
        <w:rPr>
          <w:rStyle w:val="Hyperlink0"/>
          <w:rFonts w:cs="Calibri"/>
          <w:sz w:val="24"/>
          <w:szCs w:val="24"/>
        </w:rPr>
        <w:t>di cui all'articolo 51 del</w:t>
      </w:r>
      <w:r w:rsidR="00182BB3">
        <w:rPr>
          <w:rStyle w:val="Hyperlink0"/>
          <w:rFonts w:cs="Calibri"/>
          <w:sz w:val="24"/>
          <w:szCs w:val="24"/>
        </w:rPr>
        <w:t xml:space="preserve"> Testo Unico delle Imposte sui redditi </w:t>
      </w:r>
      <w:r w:rsidRPr="00182BB3">
        <w:rPr>
          <w:rStyle w:val="Hyperlink0"/>
          <w:rFonts w:cs="Calibri"/>
          <w:sz w:val="24"/>
          <w:szCs w:val="24"/>
        </w:rPr>
        <w:t>di cui al decreto del Presidente della Repubblica 22 dicembre 1986, n. 917, e successive modificazioni, dei i sussidi occasionali, delle erogazioni liberali o dei benefici di qualsiasi genere, concessi dai datori di lavoro privati a favore dei lavoratori interessati dalle restrizioni di cui all’articolo 1, comma 1, del decreto-legge 23 febbraio 2020, n. 6</w:t>
      </w:r>
    </w:p>
    <w:p w14:paraId="7E0DEED1" w14:textId="77777777" w:rsidR="0072177D" w:rsidRPr="00182BB3" w:rsidRDefault="00631E99">
      <w:pPr>
        <w:pStyle w:val="Paragrafoelenco"/>
        <w:numPr>
          <w:ilvl w:val="0"/>
          <w:numId w:val="16"/>
        </w:numPr>
        <w:spacing w:before="120" w:after="0" w:line="280" w:lineRule="exact"/>
        <w:jc w:val="both"/>
        <w:rPr>
          <w:rFonts w:cs="Calibri"/>
          <w:sz w:val="24"/>
          <w:szCs w:val="24"/>
        </w:rPr>
      </w:pPr>
      <w:r w:rsidRPr="00182BB3">
        <w:rPr>
          <w:rStyle w:val="Nessuno"/>
          <w:rFonts w:cs="Calibri"/>
          <w:b/>
          <w:bCs/>
          <w:sz w:val="24"/>
          <w:szCs w:val="24"/>
        </w:rPr>
        <w:t>Imposta di bollo e imposta di registro</w:t>
      </w:r>
      <w:r w:rsidRPr="00182BB3">
        <w:rPr>
          <w:rStyle w:val="Hyperlink0"/>
          <w:rFonts w:cs="Calibri"/>
          <w:sz w:val="24"/>
          <w:szCs w:val="24"/>
        </w:rPr>
        <w:t xml:space="preserve">: le persone fisiche oggetto delle restrizioni di cui all’articolo 1, comma 1, del decreto-legge 23 febbraio 2020, n. 6 e le persone giuridiche che hanno sede legale o operativa nei Comuni di cui all’allegato 1 del citato DPCM, dovrebbero </w:t>
      </w:r>
      <w:r w:rsidRPr="00182BB3">
        <w:rPr>
          <w:rStyle w:val="Hyperlink0"/>
          <w:rFonts w:cs="Calibri"/>
          <w:sz w:val="24"/>
          <w:szCs w:val="24"/>
        </w:rPr>
        <w:lastRenderedPageBreak/>
        <w:t>essere esentate dal pagamento dell’imposta di bollo e dell’imposta di registro per le istanze, i contratti e i documenti presentati alla pubblica amministrazione</w:t>
      </w:r>
    </w:p>
    <w:p w14:paraId="778FCDAB" w14:textId="77777777" w:rsidR="0072177D" w:rsidRPr="00182BB3" w:rsidRDefault="0072177D">
      <w:pPr>
        <w:pStyle w:val="Paragrafoelenco"/>
        <w:spacing w:before="120" w:after="0" w:line="280" w:lineRule="exact"/>
        <w:ind w:left="360"/>
        <w:jc w:val="both"/>
        <w:rPr>
          <w:rStyle w:val="Hyperlink0"/>
          <w:rFonts w:cs="Calibri"/>
          <w:sz w:val="24"/>
          <w:szCs w:val="24"/>
        </w:rPr>
      </w:pPr>
    </w:p>
    <w:p w14:paraId="3E0B4D1B" w14:textId="77777777" w:rsidR="001763F8" w:rsidRPr="001763F8" w:rsidRDefault="00631E99" w:rsidP="001763F8">
      <w:pPr>
        <w:pStyle w:val="Paragrafoelenco"/>
        <w:numPr>
          <w:ilvl w:val="0"/>
          <w:numId w:val="17"/>
        </w:numPr>
        <w:spacing w:before="120" w:after="0" w:line="280" w:lineRule="exact"/>
        <w:jc w:val="both"/>
        <w:rPr>
          <w:rStyle w:val="Nessuno"/>
          <w:rFonts w:cs="Calibri"/>
          <w:b/>
          <w:bCs/>
          <w:color w:val="0070C0"/>
          <w:sz w:val="24"/>
          <w:szCs w:val="24"/>
        </w:rPr>
      </w:pPr>
      <w:r w:rsidRPr="00182BB3">
        <w:rPr>
          <w:rStyle w:val="Nessuno"/>
          <w:rFonts w:cs="Calibri"/>
          <w:b/>
          <w:bCs/>
          <w:color w:val="0070C0"/>
          <w:sz w:val="24"/>
          <w:szCs w:val="24"/>
          <w:u w:val="single" w:color="0070C0"/>
        </w:rPr>
        <w:t>Riconoscimento causa di forza maggiore, misure di carattere indennitario e rinvio delle misure di allerta</w:t>
      </w:r>
    </w:p>
    <w:p w14:paraId="327587A4" w14:textId="71146DC2" w:rsidR="00182BB3" w:rsidRPr="001763F8" w:rsidRDefault="003F4669" w:rsidP="001763F8">
      <w:pPr>
        <w:pStyle w:val="Paragrafoelenco"/>
        <w:numPr>
          <w:ilvl w:val="0"/>
          <w:numId w:val="26"/>
        </w:numPr>
        <w:spacing w:before="120" w:after="0" w:line="280" w:lineRule="exact"/>
        <w:jc w:val="both"/>
        <w:rPr>
          <w:rStyle w:val="Hyperlink0"/>
          <w:rFonts w:cs="Calibri"/>
          <w:b/>
          <w:bCs/>
          <w:color w:val="0070C0"/>
          <w:sz w:val="24"/>
          <w:szCs w:val="24"/>
        </w:rPr>
      </w:pPr>
      <w:r w:rsidRPr="003F4669">
        <w:rPr>
          <w:rFonts w:cs="Calibri"/>
          <w:sz w:val="24"/>
          <w:szCs w:val="24"/>
        </w:rPr>
        <w:t xml:space="preserve">Occorre chiarire che i provvedimenti adottati dall’Autorità pubblica (es. Governo, Regioni, Comuni) per contenere l’emergenza epidemiologica da CODIV – 19, c.d. Coronavirus sono da considerarsi </w:t>
      </w:r>
      <w:r w:rsidRPr="003F4669">
        <w:rPr>
          <w:rFonts w:cs="Calibri"/>
          <w:b/>
          <w:bCs/>
          <w:sz w:val="24"/>
          <w:szCs w:val="24"/>
        </w:rPr>
        <w:t>causa di forza maggiore</w:t>
      </w:r>
      <w:r w:rsidRPr="003F4669">
        <w:rPr>
          <w:rFonts w:cs="Calibri"/>
          <w:sz w:val="24"/>
          <w:szCs w:val="24"/>
        </w:rPr>
        <w:t xml:space="preserve"> ai fini della disciplina dell’inadempimento delle obbligazioni (artt. 1218, 1256, 1258, 1463 e 1464 del codice civile). Pertanto, dovrebbe stabilirsi con certezza l’esclusione della responsabilità del debitore che, per effetto dei citati provvedimenti di contenimento, ritardi ovvero non esegua l’adempimento delle sue obbligazioni contrattuali. Analoghi esoneri da responsabilità andrebbero riconosciuti anche per gli operatori che, pur non essendo direttamente interessati dalle misure di contenimento disposte dall’Autorità pubblica, ne subiscano indirettamente gli effetti, riscontrando condizioni di impossibilità oggettiva ovvero di eccessiva onerosità nella gestione delle normali attività</w:t>
      </w:r>
    </w:p>
    <w:p w14:paraId="61E16502" w14:textId="11D6C1EE" w:rsidR="0072177D" w:rsidRPr="00182BB3" w:rsidRDefault="00631E99" w:rsidP="001763F8">
      <w:pPr>
        <w:pStyle w:val="Paragrafoelenco"/>
        <w:numPr>
          <w:ilvl w:val="0"/>
          <w:numId w:val="26"/>
        </w:numPr>
        <w:spacing w:before="120" w:after="0" w:line="280" w:lineRule="exact"/>
        <w:jc w:val="both"/>
        <w:rPr>
          <w:rFonts w:cs="Calibri"/>
          <w:sz w:val="24"/>
          <w:szCs w:val="24"/>
          <w:shd w:val="clear" w:color="auto" w:fill="FFFF00"/>
        </w:rPr>
      </w:pPr>
      <w:r w:rsidRPr="00182BB3">
        <w:rPr>
          <w:rStyle w:val="Hyperlink0"/>
          <w:rFonts w:cs="Calibri"/>
          <w:sz w:val="24"/>
          <w:szCs w:val="24"/>
        </w:rPr>
        <w:t xml:space="preserve">In funzione dell’evolversi della situazione epidemiologica, è necessario individuare </w:t>
      </w:r>
      <w:r w:rsidRPr="00F3124E">
        <w:rPr>
          <w:rStyle w:val="Hyperlink0"/>
          <w:rFonts w:cs="Calibri"/>
          <w:b/>
          <w:bCs/>
          <w:sz w:val="24"/>
          <w:szCs w:val="24"/>
        </w:rPr>
        <w:t>strumenti di natura indennitaria</w:t>
      </w:r>
      <w:r w:rsidRPr="00182BB3">
        <w:rPr>
          <w:rStyle w:val="Hyperlink0"/>
          <w:rFonts w:cs="Calibri"/>
          <w:sz w:val="24"/>
          <w:szCs w:val="24"/>
        </w:rPr>
        <w:t xml:space="preserve"> per il ristoro dei danni subiti dagli operatori economici incisi, direttamente o indirettamente, dalle misure di contenimento del rischio</w:t>
      </w:r>
      <w:r w:rsidR="00FC6DF3">
        <w:rPr>
          <w:rStyle w:val="Hyperlink0"/>
          <w:rFonts w:cs="Calibri"/>
          <w:sz w:val="24"/>
          <w:szCs w:val="24"/>
        </w:rPr>
        <w:t xml:space="preserve"> e definire i criteri di individuazione dei danni e di valutazione, certificazione e verifica degli indennizzi</w:t>
      </w:r>
      <w:r w:rsidRPr="005D5489">
        <w:rPr>
          <w:rStyle w:val="Hyperlink0"/>
          <w:rFonts w:cs="Calibri"/>
          <w:sz w:val="24"/>
          <w:szCs w:val="24"/>
        </w:rPr>
        <w:t>.</w:t>
      </w:r>
      <w:r w:rsidR="00182BB3" w:rsidRPr="005D5489">
        <w:rPr>
          <w:rStyle w:val="Hyperlink0"/>
          <w:rFonts w:cs="Calibri"/>
          <w:sz w:val="24"/>
          <w:szCs w:val="24"/>
        </w:rPr>
        <w:t xml:space="preserve"> A tal fine, sarebbe opportun</w:t>
      </w:r>
      <w:r w:rsidR="005D5489" w:rsidRPr="005D5489">
        <w:rPr>
          <w:rStyle w:val="Hyperlink0"/>
          <w:rFonts w:cs="Calibri"/>
          <w:sz w:val="24"/>
          <w:szCs w:val="24"/>
        </w:rPr>
        <w:t>o</w:t>
      </w:r>
      <w:r w:rsidR="00182BB3" w:rsidRPr="005D5489">
        <w:rPr>
          <w:rStyle w:val="Hyperlink0"/>
          <w:rFonts w:cs="Calibri"/>
          <w:sz w:val="24"/>
          <w:szCs w:val="24"/>
        </w:rPr>
        <w:t xml:space="preserve"> avviare quanto prima un’interlocuzione con la Commissione europea per le necessarie autorizzazioni comunitarie richieste dalla disciplina in materia di aiuti di Stato</w:t>
      </w:r>
    </w:p>
    <w:p w14:paraId="1EECF40A" w14:textId="77777777" w:rsidR="0072177D" w:rsidRPr="00182BB3" w:rsidRDefault="00631E99" w:rsidP="001763F8">
      <w:pPr>
        <w:pStyle w:val="Paragrafoelenco"/>
        <w:numPr>
          <w:ilvl w:val="0"/>
          <w:numId w:val="26"/>
        </w:numPr>
        <w:spacing w:before="120" w:after="0" w:line="280" w:lineRule="exact"/>
        <w:jc w:val="both"/>
        <w:rPr>
          <w:rFonts w:cs="Calibri"/>
          <w:sz w:val="24"/>
          <w:szCs w:val="24"/>
        </w:rPr>
      </w:pPr>
      <w:r w:rsidRPr="00182BB3">
        <w:rPr>
          <w:rStyle w:val="Hyperlink0"/>
          <w:rFonts w:cs="Calibri"/>
          <w:sz w:val="24"/>
          <w:szCs w:val="24"/>
        </w:rPr>
        <w:t xml:space="preserve">Occorre prorogare ad agosto 2021 l’entrata in vigore delle </w:t>
      </w:r>
      <w:r w:rsidRPr="00F3124E">
        <w:rPr>
          <w:rStyle w:val="Hyperlink0"/>
          <w:rFonts w:cs="Calibri"/>
          <w:b/>
          <w:bCs/>
          <w:sz w:val="24"/>
          <w:szCs w:val="24"/>
        </w:rPr>
        <w:t>misure di allerta</w:t>
      </w:r>
      <w:r w:rsidRPr="00182BB3">
        <w:rPr>
          <w:rStyle w:val="Hyperlink0"/>
          <w:rFonts w:cs="Calibri"/>
          <w:sz w:val="24"/>
          <w:szCs w:val="24"/>
        </w:rPr>
        <w:t xml:space="preserve"> previste dal Codice della crisi per tutte le imprese, in quanto</w:t>
      </w:r>
      <w:r w:rsidR="00182BB3">
        <w:rPr>
          <w:rStyle w:val="Hyperlink0"/>
          <w:rFonts w:cs="Calibri"/>
          <w:sz w:val="24"/>
          <w:szCs w:val="24"/>
        </w:rPr>
        <w:t xml:space="preserve"> la contrazione dell’attività economica generata dagli eventi epidemiologici rischia </w:t>
      </w:r>
      <w:r w:rsidRPr="00182BB3">
        <w:rPr>
          <w:rStyle w:val="Hyperlink0"/>
          <w:rFonts w:cs="Calibri"/>
          <w:sz w:val="24"/>
          <w:szCs w:val="24"/>
        </w:rPr>
        <w:t xml:space="preserve">di avere effetti negativi significativi sulla liquidità delle imprese e, quindi, di alterare l’impatto degli indicatori della crisi previsti </w:t>
      </w:r>
      <w:r w:rsidR="00182BB3">
        <w:rPr>
          <w:rStyle w:val="Hyperlink0"/>
          <w:rFonts w:cs="Calibri"/>
          <w:sz w:val="24"/>
          <w:szCs w:val="24"/>
        </w:rPr>
        <w:t>dalla nuova disciplina fallimentare</w:t>
      </w:r>
    </w:p>
    <w:p w14:paraId="53A4092C" w14:textId="77777777" w:rsidR="00182BB3" w:rsidRPr="00182BB3" w:rsidRDefault="00182BB3" w:rsidP="006423D9">
      <w:pPr>
        <w:spacing w:before="120" w:after="0" w:line="280" w:lineRule="exact"/>
        <w:jc w:val="both"/>
        <w:rPr>
          <w:rStyle w:val="Hyperlink0"/>
          <w:rFonts w:cs="Calibri"/>
          <w:sz w:val="24"/>
          <w:szCs w:val="24"/>
        </w:rPr>
      </w:pPr>
    </w:p>
    <w:p w14:paraId="5700C67B" w14:textId="77777777" w:rsidR="0072177D" w:rsidRPr="00182BB3" w:rsidRDefault="00631E99">
      <w:pPr>
        <w:pStyle w:val="Paragrafoelenco"/>
        <w:numPr>
          <w:ilvl w:val="0"/>
          <w:numId w:val="20"/>
        </w:numPr>
        <w:spacing w:before="120" w:after="0" w:line="280" w:lineRule="exact"/>
        <w:jc w:val="both"/>
        <w:rPr>
          <w:rFonts w:cs="Calibri"/>
          <w:b/>
          <w:bCs/>
          <w:color w:val="0070C0"/>
          <w:sz w:val="24"/>
          <w:szCs w:val="24"/>
        </w:rPr>
      </w:pPr>
      <w:r w:rsidRPr="00182BB3">
        <w:rPr>
          <w:rStyle w:val="Nessuno"/>
          <w:rFonts w:cs="Calibri"/>
          <w:b/>
          <w:bCs/>
          <w:color w:val="0070C0"/>
          <w:sz w:val="24"/>
          <w:szCs w:val="24"/>
          <w:u w:val="single" w:color="0070C0"/>
        </w:rPr>
        <w:t>Misure urgenti per specifici settori strategici</w:t>
      </w:r>
    </w:p>
    <w:p w14:paraId="53CB534B" w14:textId="524AFD87" w:rsidR="0072177D" w:rsidRDefault="00631E99">
      <w:pPr>
        <w:spacing w:before="120" w:after="0" w:line="280" w:lineRule="exact"/>
        <w:jc w:val="both"/>
        <w:rPr>
          <w:rStyle w:val="Nessuno"/>
          <w:rFonts w:cs="Calibri"/>
          <w:sz w:val="24"/>
          <w:szCs w:val="24"/>
        </w:rPr>
      </w:pPr>
      <w:r w:rsidRPr="00182BB3">
        <w:rPr>
          <w:rStyle w:val="Nessuno"/>
          <w:rFonts w:cs="Calibri"/>
          <w:sz w:val="24"/>
          <w:szCs w:val="24"/>
        </w:rPr>
        <w:t xml:space="preserve">Ferma restando la necessità di interventi di sostegno all’intero sistema produttivo, dalle prime ricognizioni si registrano particolari difficoltà in alcuni settori strategici: </w:t>
      </w:r>
      <w:r w:rsidRPr="00F3124E">
        <w:rPr>
          <w:rStyle w:val="Nessuno"/>
          <w:rFonts w:cs="Calibri"/>
          <w:b/>
          <w:bCs/>
          <w:sz w:val="24"/>
          <w:szCs w:val="24"/>
        </w:rPr>
        <w:t>turismo, trasporti e logistica, sistema fieristico</w:t>
      </w:r>
      <w:r w:rsidRPr="00182BB3">
        <w:rPr>
          <w:rStyle w:val="Nessuno"/>
          <w:rFonts w:cs="Calibri"/>
          <w:sz w:val="24"/>
          <w:szCs w:val="24"/>
        </w:rPr>
        <w:t>. Per tali settori – fortemente condizionati dalle misure restrittive adottate per contenere l’epidemia - sarebbero necessari interventi urgenti (es. voucher per la partecipazione alle fiere) per consentire di superare nell’immediatezza il forte impatto negativo del Coronavirus.</w:t>
      </w:r>
    </w:p>
    <w:p w14:paraId="759530A8" w14:textId="77777777" w:rsidR="001F5749" w:rsidRPr="001F5749" w:rsidRDefault="001F5749" w:rsidP="001F5749">
      <w:pPr>
        <w:spacing w:before="120" w:after="0" w:line="280" w:lineRule="exact"/>
        <w:jc w:val="both"/>
        <w:rPr>
          <w:rFonts w:cs="Calibri"/>
          <w:sz w:val="24"/>
          <w:szCs w:val="24"/>
        </w:rPr>
      </w:pPr>
      <w:r w:rsidRPr="001F5749">
        <w:rPr>
          <w:rFonts w:cs="Calibri"/>
          <w:sz w:val="24"/>
          <w:szCs w:val="24"/>
        </w:rPr>
        <w:t>In particolare, in tema di trasporti e logistica, è necessario:</w:t>
      </w:r>
    </w:p>
    <w:p w14:paraId="7778A240" w14:textId="33BE95E1" w:rsidR="001F5749" w:rsidRPr="001F5749" w:rsidRDefault="00E46DA8" w:rsidP="001F5749">
      <w:pPr>
        <w:pStyle w:val="Paragrafoelenco"/>
        <w:numPr>
          <w:ilvl w:val="0"/>
          <w:numId w:val="29"/>
        </w:numPr>
        <w:spacing w:before="120" w:after="0" w:line="280" w:lineRule="exact"/>
        <w:jc w:val="both"/>
        <w:rPr>
          <w:rFonts w:cs="Calibri"/>
          <w:sz w:val="24"/>
          <w:szCs w:val="24"/>
        </w:rPr>
      </w:pPr>
      <w:r>
        <w:rPr>
          <w:rFonts w:cs="Calibri"/>
          <w:sz w:val="24"/>
          <w:szCs w:val="24"/>
        </w:rPr>
        <w:t>i</w:t>
      </w:r>
      <w:r w:rsidR="001F5749" w:rsidRPr="001F5749">
        <w:rPr>
          <w:rFonts w:cs="Calibri"/>
          <w:sz w:val="24"/>
          <w:szCs w:val="24"/>
        </w:rPr>
        <w:t>ncludere nella normativa e nella regolamentazione attuativa le esigenze di continuità logistica e produttiva, per la concessione di eventuali deroghe, controllate e limitate, alla sospensione delle attività di trasporto da e verso le zone sottoposte a regime di isolamento</w:t>
      </w:r>
      <w:r>
        <w:rPr>
          <w:rFonts w:cs="Calibri"/>
          <w:sz w:val="24"/>
          <w:szCs w:val="24"/>
        </w:rPr>
        <w:t>;</w:t>
      </w:r>
    </w:p>
    <w:p w14:paraId="69F56FF4" w14:textId="3F7B80EA" w:rsidR="001F5749" w:rsidRPr="001F5749" w:rsidRDefault="00E46DA8" w:rsidP="001F5749">
      <w:pPr>
        <w:pStyle w:val="Paragrafoelenco"/>
        <w:numPr>
          <w:ilvl w:val="0"/>
          <w:numId w:val="29"/>
        </w:numPr>
        <w:spacing w:before="120" w:after="0" w:line="280" w:lineRule="exact"/>
        <w:jc w:val="both"/>
        <w:rPr>
          <w:rFonts w:cs="Calibri"/>
          <w:sz w:val="24"/>
          <w:szCs w:val="24"/>
        </w:rPr>
      </w:pPr>
      <w:r>
        <w:rPr>
          <w:rFonts w:cs="Calibri"/>
          <w:sz w:val="24"/>
          <w:szCs w:val="24"/>
        </w:rPr>
        <w:t>d</w:t>
      </w:r>
      <w:r w:rsidR="001F5749" w:rsidRPr="001F5749">
        <w:rPr>
          <w:rFonts w:cs="Calibri"/>
          <w:sz w:val="24"/>
          <w:szCs w:val="24"/>
        </w:rPr>
        <w:t>efinire linee-guida operative per lo svolgimento in sicurezza delle operazioni di movimentazione delle merci e di carico/scarico dei mezzi di trasporto</w:t>
      </w:r>
      <w:r>
        <w:rPr>
          <w:rFonts w:cs="Calibri"/>
          <w:sz w:val="24"/>
          <w:szCs w:val="24"/>
        </w:rPr>
        <w:t>.</w:t>
      </w:r>
    </w:p>
    <w:p w14:paraId="07D4C37A" w14:textId="70640A34" w:rsidR="001F5749" w:rsidRPr="001F5749" w:rsidRDefault="008B2CE0" w:rsidP="001F5749">
      <w:pPr>
        <w:spacing w:before="120" w:after="0" w:line="280" w:lineRule="exact"/>
        <w:jc w:val="both"/>
        <w:rPr>
          <w:rFonts w:cs="Calibri"/>
          <w:sz w:val="24"/>
          <w:szCs w:val="24"/>
        </w:rPr>
      </w:pPr>
      <w:r>
        <w:rPr>
          <w:rFonts w:cs="Calibri"/>
          <w:sz w:val="24"/>
          <w:szCs w:val="24"/>
        </w:rPr>
        <w:t>Infine, andrebbero adottat</w:t>
      </w:r>
      <w:r w:rsidR="002F172B">
        <w:rPr>
          <w:rFonts w:cs="Calibri"/>
          <w:sz w:val="24"/>
          <w:szCs w:val="24"/>
        </w:rPr>
        <w:t>e</w:t>
      </w:r>
      <w:r>
        <w:rPr>
          <w:rFonts w:cs="Calibri"/>
          <w:sz w:val="24"/>
          <w:szCs w:val="24"/>
        </w:rPr>
        <w:t xml:space="preserve"> con urgenza </w:t>
      </w:r>
      <w:r w:rsidR="00052DA9">
        <w:rPr>
          <w:rFonts w:cs="Calibri"/>
          <w:sz w:val="24"/>
          <w:szCs w:val="24"/>
        </w:rPr>
        <w:t>esclusioni specifiche</w:t>
      </w:r>
      <w:r w:rsidRPr="008B2CE0">
        <w:rPr>
          <w:rFonts w:cs="Calibri"/>
          <w:sz w:val="24"/>
          <w:szCs w:val="24"/>
        </w:rPr>
        <w:t xml:space="preserve"> </w:t>
      </w:r>
      <w:r w:rsidR="002F172B">
        <w:rPr>
          <w:rFonts w:cs="Calibri"/>
          <w:sz w:val="24"/>
          <w:szCs w:val="24"/>
        </w:rPr>
        <w:t xml:space="preserve">dalle misure di contenimento </w:t>
      </w:r>
      <w:r w:rsidR="00BF278A">
        <w:rPr>
          <w:rFonts w:cs="Calibri"/>
          <w:sz w:val="24"/>
          <w:szCs w:val="24"/>
        </w:rPr>
        <w:t>per le imprese</w:t>
      </w:r>
      <w:r w:rsidRPr="008B2CE0">
        <w:rPr>
          <w:rFonts w:cs="Calibri"/>
          <w:sz w:val="24"/>
          <w:szCs w:val="24"/>
        </w:rPr>
        <w:t xml:space="preserve"> con </w:t>
      </w:r>
      <w:r w:rsidRPr="008B2CE0">
        <w:rPr>
          <w:rFonts w:cs="Calibri"/>
          <w:b/>
          <w:bCs/>
          <w:sz w:val="24"/>
          <w:szCs w:val="24"/>
        </w:rPr>
        <w:t>processi a ciclo continuo</w:t>
      </w:r>
      <w:r w:rsidR="00BF278A" w:rsidRPr="00BF278A">
        <w:rPr>
          <w:rFonts w:cs="Calibri"/>
          <w:sz w:val="24"/>
          <w:szCs w:val="24"/>
        </w:rPr>
        <w:t>,</w:t>
      </w:r>
      <w:r w:rsidRPr="008B2CE0">
        <w:rPr>
          <w:rFonts w:cs="Calibri"/>
          <w:sz w:val="24"/>
          <w:szCs w:val="24"/>
        </w:rPr>
        <w:t xml:space="preserve"> che richiedono la presenza obbligatoria di personale per garantire la sicurezza degli impianti</w:t>
      </w:r>
      <w:r>
        <w:rPr>
          <w:rFonts w:cs="Calibri"/>
          <w:sz w:val="24"/>
          <w:szCs w:val="24"/>
        </w:rPr>
        <w:t>.</w:t>
      </w:r>
    </w:p>
    <w:p w14:paraId="21ED1064" w14:textId="77777777" w:rsidR="001F5749" w:rsidRPr="00182BB3" w:rsidRDefault="001F5749">
      <w:pPr>
        <w:spacing w:before="120" w:after="0" w:line="280" w:lineRule="exact"/>
        <w:jc w:val="both"/>
        <w:rPr>
          <w:rFonts w:cs="Calibri"/>
          <w:sz w:val="24"/>
          <w:szCs w:val="24"/>
        </w:rPr>
      </w:pPr>
    </w:p>
    <w:sectPr w:rsidR="001F5749" w:rsidRPr="00182BB3">
      <w:headerReference w:type="default" r:id="rId11"/>
      <w:footerReference w:type="default" r:id="rId12"/>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ABECA" w14:textId="77777777" w:rsidR="0031079E" w:rsidRDefault="0031079E">
      <w:pPr>
        <w:spacing w:after="0" w:line="240" w:lineRule="auto"/>
      </w:pPr>
      <w:r>
        <w:separator/>
      </w:r>
    </w:p>
  </w:endnote>
  <w:endnote w:type="continuationSeparator" w:id="0">
    <w:p w14:paraId="7CE93925" w14:textId="77777777" w:rsidR="0031079E" w:rsidRDefault="003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3408D" w14:textId="77777777" w:rsidR="0072177D" w:rsidRDefault="0072177D">
    <w:pPr>
      <w:pStyle w:val="Intestp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7574E" w14:textId="77777777" w:rsidR="0031079E" w:rsidRDefault="0031079E">
      <w:pPr>
        <w:spacing w:after="0" w:line="240" w:lineRule="auto"/>
      </w:pPr>
      <w:r>
        <w:separator/>
      </w:r>
    </w:p>
  </w:footnote>
  <w:footnote w:type="continuationSeparator" w:id="0">
    <w:p w14:paraId="2928AD29" w14:textId="77777777" w:rsidR="0031079E" w:rsidRDefault="0031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C3AAA" w14:textId="77777777" w:rsidR="0072177D" w:rsidRDefault="0072177D">
    <w:pPr>
      <w:pStyle w:val="Intestp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0D8E"/>
    <w:multiLevelType w:val="hybridMultilevel"/>
    <w:tmpl w:val="759A031E"/>
    <w:styleLink w:val="Stileimportato5"/>
    <w:lvl w:ilvl="0" w:tplc="0E0A07D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48D2F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BC62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874E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86FDD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8C8B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1C8B9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94DB1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80C3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BA4500"/>
    <w:multiLevelType w:val="hybridMultilevel"/>
    <w:tmpl w:val="82EC2872"/>
    <w:styleLink w:val="Stileimportato4"/>
    <w:lvl w:ilvl="0" w:tplc="21B453A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B3A109A">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B5AE9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A4BD7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BF8C18E">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B2CA7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26087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EC2E69C">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3CAF60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8C1C5C"/>
    <w:multiLevelType w:val="hybridMultilevel"/>
    <w:tmpl w:val="4128050A"/>
    <w:styleLink w:val="Stileimportato6"/>
    <w:lvl w:ilvl="0" w:tplc="CDE68D4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F213D2">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901B6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DCB95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1C094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B2140E">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EE0CF0">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D6645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4AF9D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6182779"/>
    <w:multiLevelType w:val="hybridMultilevel"/>
    <w:tmpl w:val="4128050A"/>
    <w:numStyleLink w:val="Stileimportato6"/>
  </w:abstractNum>
  <w:abstractNum w:abstractNumId="4" w15:restartNumberingAfterBreak="0">
    <w:nsid w:val="27CE44A5"/>
    <w:multiLevelType w:val="hybridMultilevel"/>
    <w:tmpl w:val="759A031E"/>
    <w:numStyleLink w:val="Stileimportato5"/>
  </w:abstractNum>
  <w:abstractNum w:abstractNumId="5" w15:restartNumberingAfterBreak="0">
    <w:nsid w:val="3F515416"/>
    <w:multiLevelType w:val="hybridMultilevel"/>
    <w:tmpl w:val="B3568D80"/>
    <w:numStyleLink w:val="Stileimportato1"/>
  </w:abstractNum>
  <w:abstractNum w:abstractNumId="6" w15:restartNumberingAfterBreak="0">
    <w:nsid w:val="5120756C"/>
    <w:multiLevelType w:val="hybridMultilevel"/>
    <w:tmpl w:val="E4CAC694"/>
    <w:numStyleLink w:val="Stileimportato3"/>
  </w:abstractNum>
  <w:abstractNum w:abstractNumId="7" w15:restartNumberingAfterBreak="0">
    <w:nsid w:val="5299752C"/>
    <w:multiLevelType w:val="hybridMultilevel"/>
    <w:tmpl w:val="C17E9C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6B93B15"/>
    <w:multiLevelType w:val="hybridMultilevel"/>
    <w:tmpl w:val="75CCB896"/>
    <w:lvl w:ilvl="0" w:tplc="11FAFF34">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7A8A488">
      <w:start w:val="1"/>
      <w:numFmt w:val="bullet"/>
      <w:lvlText w:val="o"/>
      <w:lvlJc w:val="left"/>
      <w:pPr>
        <w:ind w:left="18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0E6448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6CB55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B8B1BA">
      <w:start w:val="1"/>
      <w:numFmt w:val="bullet"/>
      <w:lvlText w:val="o"/>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AB82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6E6A7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6260378">
      <w:start w:val="1"/>
      <w:numFmt w:val="bullet"/>
      <w:lvlText w:val="o"/>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186F1A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FAA582D"/>
    <w:multiLevelType w:val="hybridMultilevel"/>
    <w:tmpl w:val="E4CAC694"/>
    <w:styleLink w:val="Stileimportato3"/>
    <w:lvl w:ilvl="0" w:tplc="9AD8D522">
      <w:start w:val="1"/>
      <w:numFmt w:val="decimal"/>
      <w:lvlText w:val="%1)"/>
      <w:lvlJc w:val="left"/>
      <w:pPr>
        <w:ind w:left="7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4F8BEAE">
      <w:start w:val="1"/>
      <w:numFmt w:val="lowerLetter"/>
      <w:lvlText w:val="%2."/>
      <w:lvlJc w:val="left"/>
      <w:pPr>
        <w:ind w:left="143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A224F68">
      <w:start w:val="1"/>
      <w:numFmt w:val="lowerRoman"/>
      <w:lvlText w:val="%3."/>
      <w:lvlJc w:val="left"/>
      <w:pPr>
        <w:ind w:left="2157"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BAE506C">
      <w:start w:val="1"/>
      <w:numFmt w:val="decimal"/>
      <w:lvlText w:val="%4."/>
      <w:lvlJc w:val="left"/>
      <w:pPr>
        <w:ind w:left="287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B8CB61A">
      <w:start w:val="1"/>
      <w:numFmt w:val="lowerLetter"/>
      <w:lvlText w:val="%5."/>
      <w:lvlJc w:val="left"/>
      <w:pPr>
        <w:ind w:left="35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DED2BC">
      <w:start w:val="1"/>
      <w:numFmt w:val="lowerRoman"/>
      <w:lvlText w:val="%6."/>
      <w:lvlJc w:val="left"/>
      <w:pPr>
        <w:ind w:left="4317"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550EA72">
      <w:start w:val="1"/>
      <w:numFmt w:val="decimal"/>
      <w:lvlText w:val="%7."/>
      <w:lvlJc w:val="left"/>
      <w:pPr>
        <w:ind w:left="503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B240E08">
      <w:start w:val="1"/>
      <w:numFmt w:val="lowerLetter"/>
      <w:lvlText w:val="%8."/>
      <w:lvlJc w:val="left"/>
      <w:pPr>
        <w:ind w:left="575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0CAC292">
      <w:start w:val="1"/>
      <w:numFmt w:val="lowerRoman"/>
      <w:lvlText w:val="%9."/>
      <w:lvlJc w:val="left"/>
      <w:pPr>
        <w:ind w:left="6477"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3E813EA"/>
    <w:multiLevelType w:val="hybridMultilevel"/>
    <w:tmpl w:val="37122044"/>
    <w:lvl w:ilvl="0" w:tplc="AB90364C">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839" w:hanging="360"/>
      </w:pPr>
      <w:rPr>
        <w:rFonts w:ascii="Courier New" w:hAnsi="Courier New" w:cs="Courier New" w:hint="default"/>
      </w:rPr>
    </w:lvl>
    <w:lvl w:ilvl="2" w:tplc="04100005" w:tentative="1">
      <w:start w:val="1"/>
      <w:numFmt w:val="bullet"/>
      <w:lvlText w:val=""/>
      <w:lvlJc w:val="left"/>
      <w:pPr>
        <w:ind w:left="2559" w:hanging="360"/>
      </w:pPr>
      <w:rPr>
        <w:rFonts w:ascii="Wingdings" w:hAnsi="Wingdings" w:hint="default"/>
      </w:rPr>
    </w:lvl>
    <w:lvl w:ilvl="3" w:tplc="04100001" w:tentative="1">
      <w:start w:val="1"/>
      <w:numFmt w:val="bullet"/>
      <w:lvlText w:val=""/>
      <w:lvlJc w:val="left"/>
      <w:pPr>
        <w:ind w:left="3279" w:hanging="360"/>
      </w:pPr>
      <w:rPr>
        <w:rFonts w:ascii="Symbol" w:hAnsi="Symbol" w:hint="default"/>
      </w:rPr>
    </w:lvl>
    <w:lvl w:ilvl="4" w:tplc="04100003" w:tentative="1">
      <w:start w:val="1"/>
      <w:numFmt w:val="bullet"/>
      <w:lvlText w:val="o"/>
      <w:lvlJc w:val="left"/>
      <w:pPr>
        <w:ind w:left="3999" w:hanging="360"/>
      </w:pPr>
      <w:rPr>
        <w:rFonts w:ascii="Courier New" w:hAnsi="Courier New" w:cs="Courier New" w:hint="default"/>
      </w:rPr>
    </w:lvl>
    <w:lvl w:ilvl="5" w:tplc="04100005" w:tentative="1">
      <w:start w:val="1"/>
      <w:numFmt w:val="bullet"/>
      <w:lvlText w:val=""/>
      <w:lvlJc w:val="left"/>
      <w:pPr>
        <w:ind w:left="4719" w:hanging="360"/>
      </w:pPr>
      <w:rPr>
        <w:rFonts w:ascii="Wingdings" w:hAnsi="Wingdings" w:hint="default"/>
      </w:rPr>
    </w:lvl>
    <w:lvl w:ilvl="6" w:tplc="04100001" w:tentative="1">
      <w:start w:val="1"/>
      <w:numFmt w:val="bullet"/>
      <w:lvlText w:val=""/>
      <w:lvlJc w:val="left"/>
      <w:pPr>
        <w:ind w:left="5439" w:hanging="360"/>
      </w:pPr>
      <w:rPr>
        <w:rFonts w:ascii="Symbol" w:hAnsi="Symbol" w:hint="default"/>
      </w:rPr>
    </w:lvl>
    <w:lvl w:ilvl="7" w:tplc="04100003" w:tentative="1">
      <w:start w:val="1"/>
      <w:numFmt w:val="bullet"/>
      <w:lvlText w:val="o"/>
      <w:lvlJc w:val="left"/>
      <w:pPr>
        <w:ind w:left="6159" w:hanging="360"/>
      </w:pPr>
      <w:rPr>
        <w:rFonts w:ascii="Courier New" w:hAnsi="Courier New" w:cs="Courier New" w:hint="default"/>
      </w:rPr>
    </w:lvl>
    <w:lvl w:ilvl="8" w:tplc="04100005" w:tentative="1">
      <w:start w:val="1"/>
      <w:numFmt w:val="bullet"/>
      <w:lvlText w:val=""/>
      <w:lvlJc w:val="left"/>
      <w:pPr>
        <w:ind w:left="6879" w:hanging="360"/>
      </w:pPr>
      <w:rPr>
        <w:rFonts w:ascii="Wingdings" w:hAnsi="Wingdings" w:hint="default"/>
      </w:rPr>
    </w:lvl>
  </w:abstractNum>
  <w:abstractNum w:abstractNumId="11" w15:restartNumberingAfterBreak="0">
    <w:nsid w:val="655C51C5"/>
    <w:multiLevelType w:val="hybridMultilevel"/>
    <w:tmpl w:val="17C409D2"/>
    <w:numStyleLink w:val="Stileimportato2"/>
  </w:abstractNum>
  <w:abstractNum w:abstractNumId="12" w15:restartNumberingAfterBreak="0">
    <w:nsid w:val="665B0238"/>
    <w:multiLevelType w:val="hybridMultilevel"/>
    <w:tmpl w:val="B9DE2E76"/>
    <w:lvl w:ilvl="0" w:tplc="AB90364C">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482" w:hanging="360"/>
      </w:pPr>
      <w:rPr>
        <w:rFonts w:ascii="Courier New" w:hAnsi="Courier New" w:cs="Courier New" w:hint="default"/>
      </w:rPr>
    </w:lvl>
    <w:lvl w:ilvl="2" w:tplc="04100005" w:tentative="1">
      <w:start w:val="1"/>
      <w:numFmt w:val="bullet"/>
      <w:lvlText w:val=""/>
      <w:lvlJc w:val="left"/>
      <w:pPr>
        <w:ind w:left="2202" w:hanging="360"/>
      </w:pPr>
      <w:rPr>
        <w:rFonts w:ascii="Wingdings" w:hAnsi="Wingdings" w:hint="default"/>
      </w:rPr>
    </w:lvl>
    <w:lvl w:ilvl="3" w:tplc="04100001" w:tentative="1">
      <w:start w:val="1"/>
      <w:numFmt w:val="bullet"/>
      <w:lvlText w:val=""/>
      <w:lvlJc w:val="left"/>
      <w:pPr>
        <w:ind w:left="2922" w:hanging="360"/>
      </w:pPr>
      <w:rPr>
        <w:rFonts w:ascii="Symbol" w:hAnsi="Symbol" w:hint="default"/>
      </w:rPr>
    </w:lvl>
    <w:lvl w:ilvl="4" w:tplc="04100003" w:tentative="1">
      <w:start w:val="1"/>
      <w:numFmt w:val="bullet"/>
      <w:lvlText w:val="o"/>
      <w:lvlJc w:val="left"/>
      <w:pPr>
        <w:ind w:left="3642" w:hanging="360"/>
      </w:pPr>
      <w:rPr>
        <w:rFonts w:ascii="Courier New" w:hAnsi="Courier New" w:cs="Courier New" w:hint="default"/>
      </w:rPr>
    </w:lvl>
    <w:lvl w:ilvl="5" w:tplc="04100005" w:tentative="1">
      <w:start w:val="1"/>
      <w:numFmt w:val="bullet"/>
      <w:lvlText w:val=""/>
      <w:lvlJc w:val="left"/>
      <w:pPr>
        <w:ind w:left="4362" w:hanging="360"/>
      </w:pPr>
      <w:rPr>
        <w:rFonts w:ascii="Wingdings" w:hAnsi="Wingdings" w:hint="default"/>
      </w:rPr>
    </w:lvl>
    <w:lvl w:ilvl="6" w:tplc="04100001" w:tentative="1">
      <w:start w:val="1"/>
      <w:numFmt w:val="bullet"/>
      <w:lvlText w:val=""/>
      <w:lvlJc w:val="left"/>
      <w:pPr>
        <w:ind w:left="5082" w:hanging="360"/>
      </w:pPr>
      <w:rPr>
        <w:rFonts w:ascii="Symbol" w:hAnsi="Symbol" w:hint="default"/>
      </w:rPr>
    </w:lvl>
    <w:lvl w:ilvl="7" w:tplc="04100003" w:tentative="1">
      <w:start w:val="1"/>
      <w:numFmt w:val="bullet"/>
      <w:lvlText w:val="o"/>
      <w:lvlJc w:val="left"/>
      <w:pPr>
        <w:ind w:left="5802" w:hanging="360"/>
      </w:pPr>
      <w:rPr>
        <w:rFonts w:ascii="Courier New" w:hAnsi="Courier New" w:cs="Courier New" w:hint="default"/>
      </w:rPr>
    </w:lvl>
    <w:lvl w:ilvl="8" w:tplc="04100005" w:tentative="1">
      <w:start w:val="1"/>
      <w:numFmt w:val="bullet"/>
      <w:lvlText w:val=""/>
      <w:lvlJc w:val="left"/>
      <w:pPr>
        <w:ind w:left="6522" w:hanging="360"/>
      </w:pPr>
      <w:rPr>
        <w:rFonts w:ascii="Wingdings" w:hAnsi="Wingdings" w:hint="default"/>
      </w:rPr>
    </w:lvl>
  </w:abstractNum>
  <w:abstractNum w:abstractNumId="13" w15:restartNumberingAfterBreak="0">
    <w:nsid w:val="67C00288"/>
    <w:multiLevelType w:val="hybridMultilevel"/>
    <w:tmpl w:val="17C409D2"/>
    <w:numStyleLink w:val="Stileimportato2"/>
  </w:abstractNum>
  <w:abstractNum w:abstractNumId="14" w15:restartNumberingAfterBreak="0">
    <w:nsid w:val="6A0054B5"/>
    <w:multiLevelType w:val="hybridMultilevel"/>
    <w:tmpl w:val="B3568D80"/>
    <w:styleLink w:val="Stileimportato1"/>
    <w:lvl w:ilvl="0" w:tplc="F2F0A42E">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A0092C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6A46F0C">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3F6A3F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4C6BF2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C207BBE">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0BA2D4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136BE2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805F1A">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D330117"/>
    <w:multiLevelType w:val="hybridMultilevel"/>
    <w:tmpl w:val="17C409D2"/>
    <w:numStyleLink w:val="Stileimportato2"/>
  </w:abstractNum>
  <w:abstractNum w:abstractNumId="16" w15:restartNumberingAfterBreak="0">
    <w:nsid w:val="6E690FF5"/>
    <w:multiLevelType w:val="hybridMultilevel"/>
    <w:tmpl w:val="82EC2872"/>
    <w:numStyleLink w:val="Stileimportato4"/>
  </w:abstractNum>
  <w:abstractNum w:abstractNumId="17" w15:restartNumberingAfterBreak="0">
    <w:nsid w:val="736D7CD9"/>
    <w:multiLevelType w:val="hybridMultilevel"/>
    <w:tmpl w:val="4128050A"/>
    <w:numStyleLink w:val="Stileimportato6"/>
  </w:abstractNum>
  <w:abstractNum w:abstractNumId="18" w15:restartNumberingAfterBreak="0">
    <w:nsid w:val="7759562C"/>
    <w:multiLevelType w:val="hybridMultilevel"/>
    <w:tmpl w:val="17C409D2"/>
    <w:styleLink w:val="Stileimportato2"/>
    <w:lvl w:ilvl="0" w:tplc="2EB2B00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4886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4AB4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2E2F5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8CB05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E79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76804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DCCC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2AA0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8DA23A7"/>
    <w:multiLevelType w:val="hybridMultilevel"/>
    <w:tmpl w:val="7CEE1540"/>
    <w:lvl w:ilvl="0" w:tplc="AB90364C">
      <w:start w:val="1"/>
      <w:numFmt w:val="bullet"/>
      <w:lvlText w:val=""/>
      <w:lvlJc w:val="left"/>
      <w:pPr>
        <w:ind w:left="318" w:hanging="360"/>
      </w:pPr>
      <w:rPr>
        <w:rFonts w:ascii="Symbol" w:hAnsi="Symbol" w:hint="default"/>
        <w:color w:val="auto"/>
      </w:rPr>
    </w:lvl>
    <w:lvl w:ilvl="1" w:tplc="04100003" w:tentative="1">
      <w:start w:val="1"/>
      <w:numFmt w:val="bullet"/>
      <w:lvlText w:val="o"/>
      <w:lvlJc w:val="left"/>
      <w:pPr>
        <w:ind w:left="1038" w:hanging="360"/>
      </w:pPr>
      <w:rPr>
        <w:rFonts w:ascii="Courier New" w:hAnsi="Courier New" w:cs="Courier New" w:hint="default"/>
      </w:rPr>
    </w:lvl>
    <w:lvl w:ilvl="2" w:tplc="04100005" w:tentative="1">
      <w:start w:val="1"/>
      <w:numFmt w:val="bullet"/>
      <w:lvlText w:val=""/>
      <w:lvlJc w:val="left"/>
      <w:pPr>
        <w:ind w:left="1758" w:hanging="360"/>
      </w:pPr>
      <w:rPr>
        <w:rFonts w:ascii="Wingdings" w:hAnsi="Wingdings" w:hint="default"/>
      </w:rPr>
    </w:lvl>
    <w:lvl w:ilvl="3" w:tplc="04100001" w:tentative="1">
      <w:start w:val="1"/>
      <w:numFmt w:val="bullet"/>
      <w:lvlText w:val=""/>
      <w:lvlJc w:val="left"/>
      <w:pPr>
        <w:ind w:left="2478" w:hanging="360"/>
      </w:pPr>
      <w:rPr>
        <w:rFonts w:ascii="Symbol" w:hAnsi="Symbol" w:hint="default"/>
      </w:rPr>
    </w:lvl>
    <w:lvl w:ilvl="4" w:tplc="04100003" w:tentative="1">
      <w:start w:val="1"/>
      <w:numFmt w:val="bullet"/>
      <w:lvlText w:val="o"/>
      <w:lvlJc w:val="left"/>
      <w:pPr>
        <w:ind w:left="3198" w:hanging="360"/>
      </w:pPr>
      <w:rPr>
        <w:rFonts w:ascii="Courier New" w:hAnsi="Courier New" w:cs="Courier New" w:hint="default"/>
      </w:rPr>
    </w:lvl>
    <w:lvl w:ilvl="5" w:tplc="04100005" w:tentative="1">
      <w:start w:val="1"/>
      <w:numFmt w:val="bullet"/>
      <w:lvlText w:val=""/>
      <w:lvlJc w:val="left"/>
      <w:pPr>
        <w:ind w:left="3918" w:hanging="360"/>
      </w:pPr>
      <w:rPr>
        <w:rFonts w:ascii="Wingdings" w:hAnsi="Wingdings" w:hint="default"/>
      </w:rPr>
    </w:lvl>
    <w:lvl w:ilvl="6" w:tplc="04100001" w:tentative="1">
      <w:start w:val="1"/>
      <w:numFmt w:val="bullet"/>
      <w:lvlText w:val=""/>
      <w:lvlJc w:val="left"/>
      <w:pPr>
        <w:ind w:left="4638" w:hanging="360"/>
      </w:pPr>
      <w:rPr>
        <w:rFonts w:ascii="Symbol" w:hAnsi="Symbol" w:hint="default"/>
      </w:rPr>
    </w:lvl>
    <w:lvl w:ilvl="7" w:tplc="04100003" w:tentative="1">
      <w:start w:val="1"/>
      <w:numFmt w:val="bullet"/>
      <w:lvlText w:val="o"/>
      <w:lvlJc w:val="left"/>
      <w:pPr>
        <w:ind w:left="5358" w:hanging="360"/>
      </w:pPr>
      <w:rPr>
        <w:rFonts w:ascii="Courier New" w:hAnsi="Courier New" w:cs="Courier New" w:hint="default"/>
      </w:rPr>
    </w:lvl>
    <w:lvl w:ilvl="8" w:tplc="04100005" w:tentative="1">
      <w:start w:val="1"/>
      <w:numFmt w:val="bullet"/>
      <w:lvlText w:val=""/>
      <w:lvlJc w:val="left"/>
      <w:pPr>
        <w:ind w:left="6078" w:hanging="360"/>
      </w:pPr>
      <w:rPr>
        <w:rFonts w:ascii="Wingdings" w:hAnsi="Wingdings" w:hint="default"/>
      </w:rPr>
    </w:lvl>
  </w:abstractNum>
  <w:abstractNum w:abstractNumId="20" w15:restartNumberingAfterBreak="0">
    <w:nsid w:val="7B182796"/>
    <w:multiLevelType w:val="hybridMultilevel"/>
    <w:tmpl w:val="B7C47B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8"/>
  </w:num>
  <w:num w:numId="4">
    <w:abstractNumId w:val="11"/>
  </w:num>
  <w:num w:numId="5">
    <w:abstractNumId w:val="5"/>
    <w:lvlOverride w:ilvl="0">
      <w:startOverride w:val="2"/>
    </w:lvlOverride>
  </w:num>
  <w:num w:numId="6">
    <w:abstractNumId w:val="5"/>
    <w:lvlOverride w:ilvl="0">
      <w:startOverride w:val="3"/>
    </w:lvlOverride>
  </w:num>
  <w:num w:numId="7">
    <w:abstractNumId w:val="9"/>
  </w:num>
  <w:num w:numId="8">
    <w:abstractNumId w:val="6"/>
  </w:num>
  <w:num w:numId="9">
    <w:abstractNumId w:val="11"/>
    <w:lvlOverride w:ilvl="0">
      <w:lvl w:ilvl="0" w:tplc="9424902E">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28DC4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8EB54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9A272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7A04A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5C273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A092A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2E0291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6ACB1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6"/>
  </w:num>
  <w:num w:numId="11">
    <w:abstractNumId w:val="11"/>
    <w:lvlOverride w:ilvl="0">
      <w:lvl w:ilvl="0" w:tplc="942490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28DC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8EB5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9A27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7A04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5C27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A092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2E029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6ACB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
  </w:num>
  <w:num w:numId="13">
    <w:abstractNumId w:val="16"/>
  </w:num>
  <w:num w:numId="14">
    <w:abstractNumId w:val="5"/>
    <w:lvlOverride w:ilvl="0">
      <w:startOverride w:val="4"/>
    </w:lvlOverride>
  </w:num>
  <w:num w:numId="15">
    <w:abstractNumId w:val="0"/>
  </w:num>
  <w:num w:numId="16">
    <w:abstractNumId w:val="4"/>
  </w:num>
  <w:num w:numId="17">
    <w:abstractNumId w:val="5"/>
    <w:lvlOverride w:ilvl="0">
      <w:startOverride w:val="5"/>
    </w:lvlOverride>
  </w:num>
  <w:num w:numId="18">
    <w:abstractNumId w:val="2"/>
  </w:num>
  <w:num w:numId="19">
    <w:abstractNumId w:val="17"/>
    <w:lvlOverride w:ilvl="0">
      <w:lvl w:ilvl="0" w:tplc="8D1C1250">
        <w:start w:val="1"/>
        <w:numFmt w:val="bullet"/>
        <w:lvlText w:val="·"/>
        <w:lvlJc w:val="left"/>
        <w:pPr>
          <w:ind w:left="315"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5"/>
    <w:lvlOverride w:ilvl="0">
      <w:startOverride w:val="6"/>
    </w:lvlOverride>
  </w:num>
  <w:num w:numId="21">
    <w:abstractNumId w:val="8"/>
  </w:num>
  <w:num w:numId="22">
    <w:abstractNumId w:val="13"/>
    <w:lvlOverride w:ilvl="0">
      <w:lvl w:ilvl="0" w:tplc="B0202C5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68B2C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C48B9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A21F8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78720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C2B33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588DA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86A4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5C76F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3"/>
    <w:lvlOverride w:ilvl="0">
      <w:lvl w:ilvl="0" w:tplc="B0202C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68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C48B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A21F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7872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C2B3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588D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86A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5C76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7"/>
  </w:num>
  <w:num w:numId="25">
    <w:abstractNumId w:val="17"/>
  </w:num>
  <w:num w:numId="26">
    <w:abstractNumId w:val="19"/>
  </w:num>
  <w:num w:numId="27">
    <w:abstractNumId w:val="10"/>
  </w:num>
  <w:num w:numId="28">
    <w:abstractNumId w:val="3"/>
  </w:num>
  <w:num w:numId="29">
    <w:abstractNumId w:val="12"/>
  </w:num>
  <w:num w:numId="30">
    <w:abstractNumId w:val="1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7D"/>
    <w:rsid w:val="00052DA9"/>
    <w:rsid w:val="000C088C"/>
    <w:rsid w:val="00100C58"/>
    <w:rsid w:val="0010163B"/>
    <w:rsid w:val="001414D1"/>
    <w:rsid w:val="001509BE"/>
    <w:rsid w:val="00155DF3"/>
    <w:rsid w:val="001763F8"/>
    <w:rsid w:val="00182BB3"/>
    <w:rsid w:val="001F5749"/>
    <w:rsid w:val="00237395"/>
    <w:rsid w:val="00283C7D"/>
    <w:rsid w:val="002A2CE7"/>
    <w:rsid w:val="002F172B"/>
    <w:rsid w:val="0031079E"/>
    <w:rsid w:val="003F4669"/>
    <w:rsid w:val="004D43C9"/>
    <w:rsid w:val="004F4513"/>
    <w:rsid w:val="00504AD9"/>
    <w:rsid w:val="00583282"/>
    <w:rsid w:val="005A571A"/>
    <w:rsid w:val="005D5489"/>
    <w:rsid w:val="00631E99"/>
    <w:rsid w:val="006423D9"/>
    <w:rsid w:val="006B7BBB"/>
    <w:rsid w:val="0072177D"/>
    <w:rsid w:val="0079282F"/>
    <w:rsid w:val="007B0A22"/>
    <w:rsid w:val="007B0B3E"/>
    <w:rsid w:val="00832CDA"/>
    <w:rsid w:val="008B2CE0"/>
    <w:rsid w:val="00A62B29"/>
    <w:rsid w:val="00A81963"/>
    <w:rsid w:val="00BB7D68"/>
    <w:rsid w:val="00BC7DFD"/>
    <w:rsid w:val="00BF278A"/>
    <w:rsid w:val="00D54824"/>
    <w:rsid w:val="00E46DA8"/>
    <w:rsid w:val="00F3124E"/>
    <w:rsid w:val="00FC6DF3"/>
    <w:rsid w:val="00FD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312F"/>
  <w15:docId w15:val="{641E41E8-EE36-4882-A64A-517D1AA7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pipagina">
    <w:name w:val="Intest.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rPr>
      <w:lang w:val="it-IT"/>
    </w:rPr>
  </w:style>
  <w:style w:type="paragraph" w:styleId="Paragrafoelenco">
    <w:name w:val="List Paragraph"/>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character" w:customStyle="1" w:styleId="Hyperlink0">
    <w:name w:val="Hyperlink.0"/>
    <w:basedOn w:val="Nessuno"/>
    <w:rPr>
      <w:lang w:val="it-IT"/>
    </w:rPr>
  </w:style>
  <w:style w:type="numbering" w:customStyle="1" w:styleId="Stileimportato3">
    <w:name w:val="Stile importato 3"/>
    <w:pPr>
      <w:numPr>
        <w:numId w:val="7"/>
      </w:numPr>
    </w:pPr>
  </w:style>
  <w:style w:type="numbering" w:customStyle="1" w:styleId="Stileimportato4">
    <w:name w:val="Stile importato 4"/>
    <w:pPr>
      <w:numPr>
        <w:numId w:val="12"/>
      </w:numPr>
    </w:pPr>
  </w:style>
  <w:style w:type="numbering" w:customStyle="1" w:styleId="Stileimportato5">
    <w:name w:val="Stile importato 5"/>
    <w:pPr>
      <w:numPr>
        <w:numId w:val="15"/>
      </w:numPr>
    </w:pPr>
  </w:style>
  <w:style w:type="numbering" w:customStyle="1" w:styleId="Stileimportato6">
    <w:name w:val="Stile importato 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ome.ilfisco.it/perl/fol-new.pl?cmd-doc=1913%2520omenkey%25280%253A1%252A%252A%2529%2520%255B0%255D;log-ssckey=099be70d14c2b3da1f003b758f95a602-428;log-ckey=%2524123698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ome.ilfisco.it/perl/fol-new.pl?cmd-doc=443995%2520omenkey%25280%253A1%252A%252A%2529%2520%255B0%255D;log-ssckey=75d55c1bb2d6627394daf967f24c7c64-563;log-ckey=%252412398241" TargetMode="External"/><Relationship Id="rId4" Type="http://schemas.openxmlformats.org/officeDocument/2006/relationships/settings" Target="settings.xml"/><Relationship Id="rId9" Type="http://schemas.openxmlformats.org/officeDocument/2006/relationships/hyperlink" Target="http://home.ilfisco.it/perl/fol-new.pl?cmd-doc=225490%2520omenkey%25280%253A1%252A%252A%2529%2520%255B0%255D;log-ssckey=75d55c1bb2d6627394daf967f24c7c64-563;log-ckey=%252412398241"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D4B2C-2F93-4B40-B01D-AC54683C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2434</Words>
  <Characters>13877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AMatonti</dc:creator>
  <cp:lastModifiedBy>AMatonti</cp:lastModifiedBy>
  <cp:revision>3</cp:revision>
  <dcterms:created xsi:type="dcterms:W3CDTF">2020-02-26T11:50:00Z</dcterms:created>
  <dcterms:modified xsi:type="dcterms:W3CDTF">2020-02-26T12:00:00Z</dcterms:modified>
</cp:coreProperties>
</file>